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FB" w:rsidRDefault="00F80CE8">
      <w:pPr>
        <w:tabs>
          <w:tab w:val="left" w:pos="6237"/>
          <w:tab w:val="left" w:pos="7371"/>
          <w:tab w:val="left" w:pos="8222"/>
        </w:tabs>
        <w:ind w:right="-568"/>
        <w:rPr>
          <w:rFonts w:ascii="SenBJS" w:hAnsi="SenBJS"/>
          <w:sz w:val="22"/>
        </w:rPr>
      </w:pPr>
      <w:r>
        <w:rPr>
          <w:rFonts w:ascii="SenBJS" w:hAnsi="SenBJS"/>
          <w:sz w:val="22"/>
        </w:rPr>
        <w:t>Senatsverwaltung für Bildung, Jugend und Wissenschaft</w:t>
      </w:r>
      <w:r>
        <w:rPr>
          <w:rFonts w:ascii="SenBJS" w:hAnsi="SenBJS"/>
          <w:sz w:val="22"/>
        </w:rPr>
        <w:tab/>
      </w:r>
      <w:r>
        <w:rPr>
          <w:rFonts w:ascii="SenBJS" w:hAnsi="SenBJS"/>
          <w:sz w:val="22"/>
        </w:rPr>
        <w:tab/>
        <w:t>Datum:</w:t>
      </w:r>
      <w:r>
        <w:rPr>
          <w:rFonts w:ascii="SenBJS" w:hAnsi="SenBJS"/>
          <w:sz w:val="22"/>
        </w:rPr>
        <w:tab/>
      </w:r>
      <w:r w:rsidR="00EE26C5">
        <w:rPr>
          <w:rFonts w:ascii="SenBJS" w:hAnsi="SenBJS"/>
          <w:sz w:val="22"/>
        </w:rPr>
        <w:t>06.02.2025</w:t>
      </w:r>
    </w:p>
    <w:p w:rsidR="008223FB" w:rsidRDefault="00F80CE8">
      <w:pPr>
        <w:tabs>
          <w:tab w:val="left" w:pos="6237"/>
          <w:tab w:val="left" w:pos="7371"/>
          <w:tab w:val="left" w:pos="8222"/>
        </w:tabs>
        <w:ind w:right="-568"/>
        <w:rPr>
          <w:rFonts w:ascii="SenBJS" w:hAnsi="SenBJS"/>
          <w:sz w:val="22"/>
          <w:szCs w:val="22"/>
        </w:rPr>
      </w:pPr>
      <w:r>
        <w:rPr>
          <w:rFonts w:ascii="SenBJS" w:hAnsi="SenBJS"/>
          <w:sz w:val="22"/>
        </w:rPr>
        <w:t>Stellenzeichen:  1</w:t>
      </w:r>
      <w:r w:rsidR="00EE26C5">
        <w:rPr>
          <w:rFonts w:ascii="SenBJS" w:hAnsi="SenBJS"/>
          <w:sz w:val="22"/>
        </w:rPr>
        <w:t>2 I 2</w:t>
      </w:r>
      <w:r>
        <w:rPr>
          <w:rFonts w:ascii="SenBJS" w:hAnsi="SenBJS"/>
          <w:sz w:val="22"/>
        </w:rPr>
        <w:tab/>
      </w:r>
      <w:r>
        <w:rPr>
          <w:rFonts w:ascii="SenBJS" w:hAnsi="SenBJS"/>
          <w:sz w:val="22"/>
        </w:rPr>
        <w:tab/>
        <w:t>Telefon:</w:t>
      </w:r>
      <w:r>
        <w:rPr>
          <w:rFonts w:ascii="SenBJS" w:hAnsi="SenBJS"/>
          <w:sz w:val="22"/>
        </w:rPr>
        <w:tab/>
      </w:r>
      <w:r w:rsidR="00EE26C5">
        <w:rPr>
          <w:rFonts w:ascii="SenBJS" w:hAnsi="SenBJS"/>
          <w:sz w:val="22"/>
          <w:szCs w:val="22"/>
        </w:rPr>
        <w:t>90249 1937</w:t>
      </w:r>
    </w:p>
    <w:p w:rsidR="008223FB" w:rsidRDefault="008223FB">
      <w:pPr>
        <w:rPr>
          <w:rFonts w:ascii="SenBJS" w:hAnsi="SenBJS"/>
          <w:sz w:val="22"/>
        </w:rPr>
      </w:pPr>
    </w:p>
    <w:p w:rsidR="008223FB" w:rsidRDefault="008223FB">
      <w:pPr>
        <w:rPr>
          <w:rFonts w:ascii="SenBJS" w:hAnsi="SenBJS"/>
          <w:sz w:val="22"/>
        </w:rPr>
      </w:pPr>
    </w:p>
    <w:p w:rsidR="008223FB" w:rsidRDefault="00F80CE8">
      <w:pPr>
        <w:ind w:left="4536" w:hanging="4536"/>
        <w:rPr>
          <w:rFonts w:ascii="SenBJS" w:hAnsi="SenBJS"/>
          <w:sz w:val="22"/>
          <w:szCs w:val="22"/>
        </w:rPr>
      </w:pPr>
      <w:r>
        <w:rPr>
          <w:rFonts w:ascii="SenBJS" w:hAnsi="SenBJS"/>
          <w:b/>
          <w:sz w:val="22"/>
          <w:szCs w:val="22"/>
        </w:rPr>
        <w:t xml:space="preserve">Anlage 3 zum Auswahlvermerk </w:t>
      </w:r>
      <w:r>
        <w:rPr>
          <w:rFonts w:ascii="SenBJS" w:hAnsi="SenBJS"/>
          <w:b/>
          <w:sz w:val="22"/>
          <w:szCs w:val="22"/>
        </w:rPr>
        <w:tab/>
        <w:t>Protokoll zum Auswahlgespräch</w:t>
      </w:r>
      <w:r>
        <w:rPr>
          <w:rFonts w:ascii="SenBJS" w:hAnsi="SenBJS"/>
          <w:b/>
          <w:sz w:val="22"/>
          <w:szCs w:val="22"/>
          <w:u w:val="single"/>
        </w:rPr>
        <w:t xml:space="preserve"> </w:t>
      </w:r>
    </w:p>
    <w:p w:rsidR="008223FB" w:rsidRDefault="008223FB">
      <w:pPr>
        <w:jc w:val="both"/>
        <w:rPr>
          <w:rFonts w:ascii="SenBJS" w:hAnsi="SenBJS"/>
          <w:sz w:val="22"/>
        </w:rPr>
      </w:pPr>
    </w:p>
    <w:p w:rsidR="008223FB" w:rsidRDefault="008223FB">
      <w:pPr>
        <w:jc w:val="both"/>
        <w:rPr>
          <w:rFonts w:ascii="SenBJS" w:hAnsi="SenBJ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7122"/>
      </w:tblGrid>
      <w:tr w:rsidR="008223FB">
        <w:tc>
          <w:tcPr>
            <w:tcW w:w="2235" w:type="dxa"/>
            <w:shd w:val="clear" w:color="auto" w:fill="auto"/>
          </w:tcPr>
          <w:p w:rsidR="008223FB" w:rsidRDefault="00F80CE8">
            <w:pPr>
              <w:pStyle w:val="berschrift1"/>
              <w:tabs>
                <w:tab w:val="left" w:pos="3828"/>
                <w:tab w:val="left" w:pos="9072"/>
              </w:tabs>
              <w:spacing w:before="60" w:after="60"/>
              <w:rPr>
                <w:rFonts w:ascii="SenBJS" w:hAnsi="SenBJS"/>
                <w:b w:val="0"/>
              </w:rPr>
            </w:pPr>
            <w:r>
              <w:rPr>
                <w:rFonts w:ascii="SenBJS" w:hAnsi="SenBJS"/>
                <w:b w:val="0"/>
              </w:rPr>
              <w:t>Kennzahl</w:t>
            </w:r>
          </w:p>
        </w:tc>
        <w:tc>
          <w:tcPr>
            <w:tcW w:w="7261" w:type="dxa"/>
            <w:shd w:val="clear" w:color="auto" w:fill="auto"/>
          </w:tcPr>
          <w:p w:rsidR="008223FB" w:rsidRDefault="008223FB">
            <w:pPr>
              <w:pStyle w:val="berschrift1"/>
              <w:tabs>
                <w:tab w:val="left" w:pos="3828"/>
                <w:tab w:val="left" w:pos="9072"/>
              </w:tabs>
              <w:spacing w:before="60" w:after="60"/>
              <w:rPr>
                <w:rFonts w:ascii="SenBJS" w:hAnsi="SenBJS"/>
                <w:sz w:val="22"/>
              </w:rPr>
            </w:pPr>
          </w:p>
        </w:tc>
      </w:tr>
      <w:tr w:rsidR="008223FB">
        <w:tc>
          <w:tcPr>
            <w:tcW w:w="2235" w:type="dxa"/>
            <w:shd w:val="clear" w:color="auto" w:fill="auto"/>
          </w:tcPr>
          <w:p w:rsidR="008223FB" w:rsidRDefault="00F80CE8">
            <w:pPr>
              <w:pStyle w:val="berschrift1"/>
              <w:tabs>
                <w:tab w:val="left" w:pos="3828"/>
                <w:tab w:val="left" w:pos="9072"/>
              </w:tabs>
              <w:spacing w:before="60" w:after="60"/>
              <w:rPr>
                <w:rFonts w:ascii="SenBJS" w:hAnsi="SenBJS"/>
                <w:b w:val="0"/>
              </w:rPr>
            </w:pPr>
            <w:r>
              <w:rPr>
                <w:rFonts w:ascii="SenBJS" w:hAnsi="SenBJS"/>
                <w:b w:val="0"/>
              </w:rPr>
              <w:t>Funktionsstelle</w:t>
            </w:r>
          </w:p>
        </w:tc>
        <w:tc>
          <w:tcPr>
            <w:tcW w:w="7261" w:type="dxa"/>
            <w:shd w:val="clear" w:color="auto" w:fill="auto"/>
          </w:tcPr>
          <w:p w:rsidR="008223FB" w:rsidRDefault="00F80CE8">
            <w:pPr>
              <w:pStyle w:val="berschrift1"/>
              <w:tabs>
                <w:tab w:val="left" w:pos="3828"/>
                <w:tab w:val="left" w:pos="9072"/>
              </w:tabs>
              <w:spacing w:before="60" w:after="60"/>
              <w:rPr>
                <w:rFonts w:ascii="SenBJS" w:hAnsi="SenBJS"/>
                <w:sz w:val="22"/>
              </w:rPr>
            </w:pPr>
            <w:r>
              <w:rPr>
                <w:rFonts w:ascii="SenBJS" w:hAnsi="SenBJS"/>
                <w:sz w:val="22"/>
              </w:rPr>
              <w:t>Fachleitung Deutsch an einer Grundschule</w:t>
            </w:r>
          </w:p>
        </w:tc>
      </w:tr>
      <w:tr w:rsidR="008223FB">
        <w:tc>
          <w:tcPr>
            <w:tcW w:w="2235" w:type="dxa"/>
            <w:shd w:val="clear" w:color="auto" w:fill="auto"/>
          </w:tcPr>
          <w:p w:rsidR="008223FB" w:rsidRDefault="00F80CE8">
            <w:pPr>
              <w:pStyle w:val="berschrift1"/>
              <w:tabs>
                <w:tab w:val="left" w:pos="3828"/>
                <w:tab w:val="left" w:pos="9072"/>
              </w:tabs>
              <w:spacing w:before="60" w:after="60"/>
              <w:rPr>
                <w:rFonts w:ascii="SenBJS" w:hAnsi="SenBJS"/>
                <w:b w:val="0"/>
              </w:rPr>
            </w:pPr>
            <w:r>
              <w:rPr>
                <w:rFonts w:ascii="SenBJS" w:hAnsi="SenBJS"/>
                <w:b w:val="0"/>
              </w:rPr>
              <w:t>Schule</w:t>
            </w:r>
          </w:p>
        </w:tc>
        <w:tc>
          <w:tcPr>
            <w:tcW w:w="7261" w:type="dxa"/>
            <w:shd w:val="clear" w:color="auto" w:fill="auto"/>
          </w:tcPr>
          <w:p w:rsidR="008223FB" w:rsidRDefault="008223FB">
            <w:pPr>
              <w:pStyle w:val="berschrift1"/>
              <w:tabs>
                <w:tab w:val="left" w:pos="3828"/>
                <w:tab w:val="left" w:pos="9072"/>
              </w:tabs>
              <w:spacing w:before="60" w:after="60"/>
              <w:rPr>
                <w:rFonts w:ascii="SenBJS" w:hAnsi="SenBJS"/>
                <w:sz w:val="22"/>
              </w:rPr>
            </w:pPr>
          </w:p>
        </w:tc>
      </w:tr>
      <w:tr w:rsidR="008223FB">
        <w:tc>
          <w:tcPr>
            <w:tcW w:w="2235" w:type="dxa"/>
            <w:shd w:val="clear" w:color="auto" w:fill="auto"/>
          </w:tcPr>
          <w:p w:rsidR="008223FB" w:rsidRDefault="00F80CE8">
            <w:pPr>
              <w:pStyle w:val="berschrift1"/>
              <w:tabs>
                <w:tab w:val="left" w:pos="3828"/>
                <w:tab w:val="left" w:pos="9072"/>
              </w:tabs>
              <w:spacing w:before="60" w:after="60"/>
              <w:rPr>
                <w:rFonts w:ascii="SenBJS" w:hAnsi="SenBJS"/>
                <w:b w:val="0"/>
              </w:rPr>
            </w:pPr>
            <w:r>
              <w:rPr>
                <w:rFonts w:ascii="SenBJS" w:hAnsi="SenBJS"/>
                <w:b w:val="0"/>
              </w:rPr>
              <w:t>Bewerber/in</w:t>
            </w:r>
          </w:p>
        </w:tc>
        <w:tc>
          <w:tcPr>
            <w:tcW w:w="7261" w:type="dxa"/>
            <w:shd w:val="clear" w:color="auto" w:fill="auto"/>
          </w:tcPr>
          <w:p w:rsidR="008223FB" w:rsidRDefault="008223FB" w:rsidP="00EE26C5">
            <w:pPr>
              <w:pStyle w:val="berschrift1"/>
              <w:tabs>
                <w:tab w:val="left" w:pos="3828"/>
                <w:tab w:val="left" w:pos="9072"/>
              </w:tabs>
              <w:spacing w:before="60" w:after="60"/>
              <w:rPr>
                <w:rFonts w:ascii="SenBJS" w:hAnsi="SenBJS"/>
                <w:sz w:val="22"/>
              </w:rPr>
            </w:pPr>
          </w:p>
        </w:tc>
      </w:tr>
      <w:tr w:rsidR="008223FB">
        <w:tc>
          <w:tcPr>
            <w:tcW w:w="2235" w:type="dxa"/>
            <w:shd w:val="clear" w:color="auto" w:fill="auto"/>
          </w:tcPr>
          <w:p w:rsidR="008223FB" w:rsidRDefault="00F80CE8">
            <w:pPr>
              <w:pStyle w:val="berschrift1"/>
              <w:tabs>
                <w:tab w:val="left" w:pos="3828"/>
                <w:tab w:val="left" w:pos="9072"/>
              </w:tabs>
              <w:spacing w:before="60" w:after="60"/>
              <w:rPr>
                <w:rFonts w:ascii="SenBJS" w:hAnsi="SenBJS"/>
                <w:b w:val="0"/>
              </w:rPr>
            </w:pPr>
            <w:r>
              <w:rPr>
                <w:rFonts w:ascii="SenBJS" w:hAnsi="SenBJS"/>
                <w:b w:val="0"/>
              </w:rPr>
              <w:t>Teilnehmer/innen</w:t>
            </w:r>
          </w:p>
        </w:tc>
        <w:tc>
          <w:tcPr>
            <w:tcW w:w="7261" w:type="dxa"/>
            <w:shd w:val="clear" w:color="auto" w:fill="auto"/>
          </w:tcPr>
          <w:p w:rsidR="008223FB" w:rsidRDefault="008223FB">
            <w:pPr>
              <w:pStyle w:val="berschrift1"/>
              <w:tabs>
                <w:tab w:val="left" w:pos="3828"/>
                <w:tab w:val="left" w:pos="9072"/>
              </w:tabs>
              <w:spacing w:before="60" w:after="60"/>
              <w:rPr>
                <w:rFonts w:ascii="SenBJS" w:hAnsi="SenBJS"/>
                <w:sz w:val="22"/>
              </w:rPr>
            </w:pPr>
          </w:p>
        </w:tc>
      </w:tr>
    </w:tbl>
    <w:p w:rsidR="008223FB" w:rsidRDefault="008223FB">
      <w:pPr>
        <w:rPr>
          <w:rFonts w:ascii="SenBJS" w:hAnsi="SenBJS"/>
        </w:rPr>
      </w:pPr>
    </w:p>
    <w:p w:rsidR="008223FB" w:rsidRDefault="008223FB">
      <w:pPr>
        <w:rPr>
          <w:rFonts w:ascii="SenBJS" w:hAnsi="SenBJ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425"/>
        <w:gridCol w:w="425"/>
        <w:gridCol w:w="426"/>
        <w:gridCol w:w="425"/>
        <w:gridCol w:w="353"/>
      </w:tblGrid>
      <w:tr w:rsidR="008223FB">
        <w:tc>
          <w:tcPr>
            <w:tcW w:w="7158" w:type="dxa"/>
            <w:tcBorders>
              <w:bottom w:val="nil"/>
            </w:tcBorders>
          </w:tcPr>
          <w:p w:rsidR="008223FB" w:rsidRDefault="00F80CE8">
            <w:pPr>
              <w:pStyle w:val="berschrift1"/>
              <w:rPr>
                <w:rFonts w:ascii="SenBJS" w:hAnsi="SenBJS"/>
                <w:sz w:val="22"/>
              </w:rPr>
            </w:pPr>
            <w:r>
              <w:rPr>
                <w:rFonts w:ascii="SenBJS" w:hAnsi="SenBJS"/>
                <w:sz w:val="22"/>
              </w:rPr>
              <w:t>Erörterungsgegenstand / Erwartungshorizont</w:t>
            </w:r>
          </w:p>
        </w:tc>
        <w:tc>
          <w:tcPr>
            <w:tcW w:w="2054" w:type="dxa"/>
            <w:gridSpan w:val="5"/>
          </w:tcPr>
          <w:p w:rsidR="008223FB" w:rsidRDefault="00F80CE8">
            <w:pPr>
              <w:jc w:val="center"/>
              <w:rPr>
                <w:rFonts w:ascii="SenBJS" w:hAnsi="SenBJS"/>
              </w:rPr>
            </w:pPr>
            <w:r>
              <w:rPr>
                <w:rFonts w:ascii="SenBJS" w:hAnsi="SenBJS"/>
              </w:rPr>
              <w:t>Bewertung</w:t>
            </w:r>
            <w:r>
              <w:rPr>
                <w:rStyle w:val="Funotenzeichen"/>
                <w:rFonts w:ascii="SenBJS" w:hAnsi="SenBJS"/>
              </w:rPr>
              <w:footnoteReference w:id="1"/>
            </w:r>
          </w:p>
        </w:tc>
      </w:tr>
      <w:tr w:rsidR="008223FB">
        <w:tc>
          <w:tcPr>
            <w:tcW w:w="7158" w:type="dxa"/>
            <w:tcBorders>
              <w:top w:val="nil"/>
              <w:bottom w:val="nil"/>
            </w:tcBorders>
          </w:tcPr>
          <w:p w:rsidR="008223FB" w:rsidRDefault="008223FB">
            <w:pPr>
              <w:rPr>
                <w:rFonts w:ascii="SenBJS" w:hAnsi="SenBJS"/>
              </w:rPr>
            </w:pPr>
          </w:p>
        </w:tc>
        <w:tc>
          <w:tcPr>
            <w:tcW w:w="425" w:type="dxa"/>
            <w:tcBorders>
              <w:bottom w:val="nil"/>
            </w:tcBorders>
          </w:tcPr>
          <w:p w:rsidR="008223FB" w:rsidRDefault="00F80CE8">
            <w:pPr>
              <w:jc w:val="center"/>
              <w:rPr>
                <w:rFonts w:ascii="SenBJS" w:hAnsi="SenBJS"/>
              </w:rPr>
            </w:pPr>
            <w:r>
              <w:rPr>
                <w:rFonts w:ascii="SenBJS" w:hAnsi="SenBJS"/>
              </w:rPr>
              <w:t>1</w:t>
            </w:r>
          </w:p>
        </w:tc>
        <w:tc>
          <w:tcPr>
            <w:tcW w:w="425" w:type="dxa"/>
            <w:tcBorders>
              <w:bottom w:val="nil"/>
            </w:tcBorders>
          </w:tcPr>
          <w:p w:rsidR="008223FB" w:rsidRDefault="00F80CE8">
            <w:pPr>
              <w:jc w:val="center"/>
              <w:rPr>
                <w:rFonts w:ascii="SenBJS" w:hAnsi="SenBJS"/>
              </w:rPr>
            </w:pPr>
            <w:r>
              <w:rPr>
                <w:rFonts w:ascii="SenBJS" w:hAnsi="SenBJS"/>
              </w:rPr>
              <w:t>2</w:t>
            </w:r>
          </w:p>
        </w:tc>
        <w:tc>
          <w:tcPr>
            <w:tcW w:w="426" w:type="dxa"/>
            <w:tcBorders>
              <w:bottom w:val="nil"/>
            </w:tcBorders>
          </w:tcPr>
          <w:p w:rsidR="008223FB" w:rsidRDefault="00F80CE8">
            <w:pPr>
              <w:jc w:val="center"/>
              <w:rPr>
                <w:rFonts w:ascii="SenBJS" w:hAnsi="SenBJS"/>
              </w:rPr>
            </w:pPr>
            <w:r>
              <w:rPr>
                <w:rFonts w:ascii="SenBJS" w:hAnsi="SenBJS"/>
              </w:rPr>
              <w:t>3</w:t>
            </w:r>
          </w:p>
        </w:tc>
        <w:tc>
          <w:tcPr>
            <w:tcW w:w="425" w:type="dxa"/>
            <w:tcBorders>
              <w:bottom w:val="nil"/>
            </w:tcBorders>
          </w:tcPr>
          <w:p w:rsidR="008223FB" w:rsidRDefault="00F80CE8">
            <w:pPr>
              <w:jc w:val="center"/>
              <w:rPr>
                <w:rFonts w:ascii="SenBJS" w:hAnsi="SenBJS"/>
              </w:rPr>
            </w:pPr>
            <w:r>
              <w:rPr>
                <w:rFonts w:ascii="SenBJS" w:hAnsi="SenBJS"/>
              </w:rPr>
              <w:t>4</w:t>
            </w:r>
          </w:p>
        </w:tc>
        <w:tc>
          <w:tcPr>
            <w:tcW w:w="353" w:type="dxa"/>
            <w:tcBorders>
              <w:bottom w:val="nil"/>
            </w:tcBorders>
          </w:tcPr>
          <w:p w:rsidR="008223FB" w:rsidRDefault="00F80CE8">
            <w:pPr>
              <w:jc w:val="center"/>
              <w:rPr>
                <w:rFonts w:ascii="SenBJS" w:hAnsi="SenBJS"/>
              </w:rPr>
            </w:pPr>
            <w:r>
              <w:rPr>
                <w:rFonts w:ascii="SenBJS" w:hAnsi="SenBJS"/>
              </w:rPr>
              <w:t>5</w:t>
            </w:r>
          </w:p>
        </w:tc>
      </w:tr>
      <w:tr w:rsidR="008223FB">
        <w:tc>
          <w:tcPr>
            <w:tcW w:w="7158" w:type="dxa"/>
            <w:tcBorders>
              <w:bottom w:val="nil"/>
            </w:tcBorders>
          </w:tcPr>
          <w:p w:rsidR="008223FB" w:rsidRDefault="008223FB">
            <w:pPr>
              <w:rPr>
                <w:rFonts w:ascii="SenBJS" w:hAnsi="SenBJS"/>
                <w:b/>
                <w:u w:val="single"/>
              </w:rPr>
            </w:pPr>
          </w:p>
        </w:tc>
        <w:tc>
          <w:tcPr>
            <w:tcW w:w="425" w:type="dxa"/>
            <w:tcBorders>
              <w:bottom w:val="nil"/>
            </w:tcBorders>
          </w:tcPr>
          <w:p w:rsidR="008223FB" w:rsidRDefault="008223FB">
            <w:pPr>
              <w:rPr>
                <w:rFonts w:ascii="SenBJS" w:hAnsi="SenBJS"/>
              </w:rPr>
            </w:pPr>
          </w:p>
        </w:tc>
        <w:tc>
          <w:tcPr>
            <w:tcW w:w="425" w:type="dxa"/>
            <w:tcBorders>
              <w:bottom w:val="nil"/>
            </w:tcBorders>
          </w:tcPr>
          <w:p w:rsidR="008223FB" w:rsidRDefault="008223FB">
            <w:pPr>
              <w:rPr>
                <w:rFonts w:ascii="SenBJS" w:hAnsi="SenBJS"/>
              </w:rPr>
            </w:pPr>
          </w:p>
        </w:tc>
        <w:tc>
          <w:tcPr>
            <w:tcW w:w="426" w:type="dxa"/>
            <w:tcBorders>
              <w:bottom w:val="nil"/>
            </w:tcBorders>
          </w:tcPr>
          <w:p w:rsidR="008223FB" w:rsidRDefault="008223FB">
            <w:pPr>
              <w:rPr>
                <w:rFonts w:ascii="SenBJS" w:hAnsi="SenBJS"/>
              </w:rPr>
            </w:pPr>
          </w:p>
        </w:tc>
        <w:tc>
          <w:tcPr>
            <w:tcW w:w="425" w:type="dxa"/>
            <w:tcBorders>
              <w:bottom w:val="nil"/>
            </w:tcBorders>
          </w:tcPr>
          <w:p w:rsidR="008223FB" w:rsidRDefault="008223FB">
            <w:pPr>
              <w:rPr>
                <w:rFonts w:ascii="SenBJS" w:hAnsi="SenBJS"/>
              </w:rPr>
            </w:pPr>
          </w:p>
        </w:tc>
        <w:tc>
          <w:tcPr>
            <w:tcW w:w="353" w:type="dxa"/>
            <w:tcBorders>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rPr>
                <w:b/>
                <w:sz w:val="24"/>
                <w:szCs w:val="24"/>
                <w:u w:val="single"/>
              </w:rPr>
            </w:pPr>
            <w:r>
              <w:rPr>
                <w:b/>
                <w:sz w:val="24"/>
                <w:szCs w:val="24"/>
                <w:u w:val="single"/>
              </w:rPr>
              <w:t>Teil 1 Selbstpräsentation</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r>
              <w:t xml:space="preserve">Erläutern Sie an ausgewählten Beispielen Ihrer bisherigen Laufbahn im Zusammenhang mit dem Anforderungsprofil Ihre Kompetenzen, Ihre Motivation und Ihre Ziele für die angestrebte Stelle als Fachleitung Deutsch an der Reineke-Fuchs-Grundschule. </w:t>
            </w:r>
          </w:p>
          <w:p w:rsidR="008223FB" w:rsidRDefault="008223FB"/>
          <w:p w:rsidR="008223FB" w:rsidRPr="006864EB" w:rsidRDefault="00F80CE8">
            <w:pPr>
              <w:rPr>
                <w:highlight w:val="yellow"/>
                <w:u w:val="single"/>
              </w:rPr>
            </w:pPr>
            <w:r w:rsidRPr="006864EB">
              <w:rPr>
                <w:sz w:val="22"/>
                <w:szCs w:val="22"/>
                <w:highlight w:val="yellow"/>
                <w:u w:val="single"/>
              </w:rPr>
              <w:t>Erwartungshorizont</w:t>
            </w:r>
            <w:r w:rsidRPr="006864EB">
              <w:rPr>
                <w:sz w:val="22"/>
                <w:szCs w:val="22"/>
                <w:highlight w:val="yellow"/>
              </w:rPr>
              <w:t xml:space="preserve"> </w:t>
            </w:r>
          </w:p>
          <w:p w:rsidR="008223FB" w:rsidRDefault="006B04DD" w:rsidP="006B04DD">
            <w:pPr>
              <w:pStyle w:val="berschrift2"/>
              <w:rPr>
                <w:rFonts w:ascii="Times New Roman" w:hAnsi="Times New Roman"/>
                <w:u w:val="none"/>
              </w:rPr>
            </w:pPr>
            <w:r w:rsidRPr="006864EB">
              <w:rPr>
                <w:rFonts w:ascii="Times New Roman" w:hAnsi="Times New Roman"/>
                <w:highlight w:val="yellow"/>
                <w:u w:val="none"/>
              </w:rPr>
              <w:t>Berücksicht</w:t>
            </w:r>
            <w:r w:rsidR="00C72D0F">
              <w:rPr>
                <w:rFonts w:ascii="Times New Roman" w:hAnsi="Times New Roman"/>
                <w:highlight w:val="yellow"/>
                <w:u w:val="none"/>
              </w:rPr>
              <w:t>igung des Anforderungsprofils Fa</w:t>
            </w:r>
            <w:r w:rsidRPr="006864EB">
              <w:rPr>
                <w:rFonts w:ascii="Times New Roman" w:hAnsi="Times New Roman"/>
                <w:highlight w:val="yellow"/>
                <w:u w:val="none"/>
              </w:rPr>
              <w:t>chleitung (ergibt sich aus der Anlage 4b der AV Lehrkräftebeurteilung – die beobachtbaren Verhaltensweisen sind der Anlage 2b zur AV Lehrkräftebeurteilung zu entnehmen), strukturelle Darstellung, Aufzeigen möglicher Entwicklungen, adäquate Ausdrucksweise, Rollenbewusstsein, fachliche Kenntnisse (Anforderungsprofil), freies Sprechen</w:t>
            </w:r>
          </w:p>
          <w:p w:rsidR="006B04DD" w:rsidRPr="006B04DD" w:rsidRDefault="006B04DD" w:rsidP="006B04DD"/>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pStyle w:val="berschrift2"/>
              <w:rPr>
                <w:rFonts w:ascii="Times New Roman" w:hAnsi="Times New Roman"/>
                <w:sz w:val="22"/>
                <w:szCs w:val="22"/>
              </w:rPr>
            </w:pPr>
            <w:r>
              <w:rPr>
                <w:rFonts w:ascii="Times New Roman" w:hAnsi="Times New Roman"/>
                <w:sz w:val="22"/>
                <w:szCs w:val="22"/>
              </w:rPr>
              <w:t>Bewertung:</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F80CE8">
            <w:pPr>
              <w:jc w:val="center"/>
              <w:rPr>
                <w:rFonts w:ascii="SenBJS" w:hAnsi="SenBJS"/>
              </w:rPr>
            </w:pPr>
            <w:r>
              <w:rPr>
                <w:rFonts w:ascii="SenBJS" w:hAnsi="SenBJS"/>
              </w:rPr>
              <w:t>x</w:t>
            </w: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pStyle w:val="berschrift2"/>
              <w:rPr>
                <w:rFonts w:ascii="Times New Roman" w:hAnsi="Times New Roman"/>
                <w:u w:val="none"/>
              </w:rPr>
            </w:pPr>
            <w:r>
              <w:rPr>
                <w:rFonts w:ascii="Times New Roman" w:hAnsi="Times New Roman"/>
                <w:u w:val="none"/>
              </w:rPr>
              <w:t xml:space="preserve">Frau </w:t>
            </w:r>
            <w:proofErr w:type="spellStart"/>
            <w:r w:rsidR="006864EB">
              <w:rPr>
                <w:rFonts w:ascii="Times New Roman" w:hAnsi="Times New Roman"/>
                <w:u w:val="none"/>
              </w:rPr>
              <w:t>xy</w:t>
            </w:r>
            <w:proofErr w:type="spellEnd"/>
            <w:r w:rsidR="006864EB">
              <w:rPr>
                <w:rFonts w:ascii="Times New Roman" w:hAnsi="Times New Roman"/>
                <w:u w:val="none"/>
              </w:rPr>
              <w:t xml:space="preserve"> </w:t>
            </w:r>
            <w:r>
              <w:rPr>
                <w:rFonts w:ascii="Times New Roman" w:hAnsi="Times New Roman"/>
                <w:u w:val="none"/>
              </w:rPr>
              <w:t xml:space="preserve"> stellte sich als teamfähige, offene und engagierte Kollegin dar, die transparent Handeln kann und einer Entwicklung grundsätzlich offen gegenübersteht. Dabei war deutlich zu erkennen, dass ihr Interessenschwerpunkt auf dem Fach Deutsch liegt. </w:t>
            </w:r>
          </w:p>
          <w:p w:rsidR="008223FB" w:rsidRDefault="00F80CE8">
            <w:pPr>
              <w:pStyle w:val="berschrift2"/>
              <w:rPr>
                <w:rFonts w:ascii="Times New Roman" w:hAnsi="Times New Roman"/>
                <w:u w:val="none"/>
              </w:rPr>
            </w:pPr>
            <w:r>
              <w:rPr>
                <w:rFonts w:ascii="Times New Roman" w:hAnsi="Times New Roman"/>
                <w:u w:val="none"/>
              </w:rPr>
              <w:t xml:space="preserve">Zu ihren Stärken </w:t>
            </w:r>
            <w:r w:rsidR="00C72D0F">
              <w:rPr>
                <w:rFonts w:ascii="Times New Roman" w:hAnsi="Times New Roman"/>
                <w:u w:val="none"/>
              </w:rPr>
              <w:t>zählt</w:t>
            </w:r>
            <w:r>
              <w:rPr>
                <w:rFonts w:ascii="Times New Roman" w:hAnsi="Times New Roman"/>
                <w:u w:val="none"/>
              </w:rPr>
              <w:t xml:space="preserve"> ein offener Blick, für Dinge, die Entwicklung und Verbesserung bedürfen, Flexibilität, Belastbarkeit und Kommunikation.</w:t>
            </w:r>
          </w:p>
          <w:p w:rsidR="008223FB" w:rsidRDefault="00F80CE8">
            <w:r>
              <w:t xml:space="preserve">Folgende Themen waren und sind für Frau </w:t>
            </w:r>
            <w:proofErr w:type="spellStart"/>
            <w:r w:rsidR="006864EB">
              <w:t>xy</w:t>
            </w:r>
            <w:proofErr w:type="spellEnd"/>
            <w:r>
              <w:t xml:space="preserve"> Schwerpunkt ihrer Arbeit an der </w:t>
            </w:r>
            <w:proofErr w:type="spellStart"/>
            <w:r w:rsidR="00C72D0F">
              <w:t>xy</w:t>
            </w:r>
            <w:proofErr w:type="spellEnd"/>
            <w:r>
              <w:t xml:space="preserve">-Grundschule:  </w:t>
            </w:r>
          </w:p>
          <w:p w:rsidR="008223FB" w:rsidRDefault="00F80CE8">
            <w:r>
              <w:t>- Evaluation und Schulprogrammarbeit im Zusammenhang mit dem Fach Deutsch</w:t>
            </w:r>
          </w:p>
          <w:p w:rsidR="008223FB" w:rsidRDefault="00F80CE8">
            <w:r>
              <w:t>- Weiterentwicklung der Fachkompetenz im Fach Deutsch im Kollegium</w:t>
            </w:r>
          </w:p>
          <w:p w:rsidR="008223FB" w:rsidRDefault="00F80CE8">
            <w:r>
              <w:t>- Entwicklung und Einführung von gemeinsamen Klassenarbeiten</w:t>
            </w:r>
          </w:p>
          <w:p w:rsidR="008223FB" w:rsidRDefault="00F80CE8">
            <w:r>
              <w:t>- Arbeit in der Konfliktbewältigung und -lösung mit den SuS</w:t>
            </w:r>
          </w:p>
          <w:p w:rsidR="008223FB" w:rsidRDefault="008223FB"/>
          <w:p w:rsidR="008223FB" w:rsidRDefault="00F80CE8">
            <w:r>
              <w:t xml:space="preserve">Als ihren Entwicklungsschwerpunkt benannte Frau </w:t>
            </w:r>
            <w:proofErr w:type="spellStart"/>
            <w:r w:rsidR="006864EB">
              <w:t>xy</w:t>
            </w:r>
            <w:proofErr w:type="spellEnd"/>
            <w:r>
              <w:t>: Klarheit in ihrer Führungsrolle zu erlangen, im Besonderen in herausfordernden Situationen, in denen mit Wiederständen umgegangen werden muss.</w:t>
            </w:r>
          </w:p>
          <w:p w:rsidR="008223FB" w:rsidRDefault="008223FB"/>
          <w:p w:rsidR="008223FB" w:rsidRDefault="00F80CE8">
            <w:pPr>
              <w:jc w:val="center"/>
              <w:rPr>
                <w:b/>
                <w:sz w:val="22"/>
                <w:szCs w:val="22"/>
              </w:rPr>
            </w:pPr>
            <w:r>
              <w:rPr>
                <w:b/>
                <w:sz w:val="22"/>
                <w:szCs w:val="22"/>
              </w:rPr>
              <w:t>-geeignet-</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bl>
    <w:p w:rsidR="008223FB" w:rsidRDefault="008223FB">
      <w:pPr>
        <w:rPr>
          <w:rFonts w:ascii="SenBJS" w:hAnsi="SenBJS"/>
        </w:rPr>
      </w:pPr>
    </w:p>
    <w:p w:rsidR="008223FB" w:rsidRDefault="00F80CE8">
      <w:pPr>
        <w:jc w:val="both"/>
        <w:rPr>
          <w:rFonts w:ascii="SenBJS" w:hAnsi="SenBJS"/>
        </w:rPr>
      </w:pPr>
      <w:r>
        <w:rPr>
          <w:rFonts w:ascii="SenBJS" w:hAnsi="SenBJ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425"/>
        <w:gridCol w:w="425"/>
        <w:gridCol w:w="426"/>
        <w:gridCol w:w="425"/>
        <w:gridCol w:w="353"/>
      </w:tblGrid>
      <w:tr w:rsidR="008223FB">
        <w:tc>
          <w:tcPr>
            <w:tcW w:w="7158" w:type="dxa"/>
            <w:tcBorders>
              <w:top w:val="single" w:sz="4" w:space="0" w:color="auto"/>
              <w:bottom w:val="nil"/>
            </w:tcBorders>
          </w:tcPr>
          <w:p w:rsidR="008223FB" w:rsidRDefault="008223FB">
            <w:pPr>
              <w:pStyle w:val="berschrift2"/>
              <w:rPr>
                <w:rFonts w:ascii="SenBJS" w:hAnsi="SenBJS"/>
              </w:rPr>
            </w:pPr>
          </w:p>
        </w:tc>
        <w:tc>
          <w:tcPr>
            <w:tcW w:w="425" w:type="dxa"/>
            <w:tcBorders>
              <w:top w:val="single" w:sz="4" w:space="0" w:color="auto"/>
              <w:bottom w:val="nil"/>
            </w:tcBorders>
          </w:tcPr>
          <w:p w:rsidR="008223FB" w:rsidRDefault="008223FB">
            <w:pPr>
              <w:rPr>
                <w:rFonts w:ascii="SenBJS" w:hAnsi="SenBJS"/>
              </w:rPr>
            </w:pPr>
          </w:p>
        </w:tc>
        <w:tc>
          <w:tcPr>
            <w:tcW w:w="425" w:type="dxa"/>
            <w:tcBorders>
              <w:top w:val="single" w:sz="4" w:space="0" w:color="auto"/>
              <w:bottom w:val="nil"/>
            </w:tcBorders>
          </w:tcPr>
          <w:p w:rsidR="008223FB" w:rsidRDefault="008223FB">
            <w:pPr>
              <w:rPr>
                <w:rFonts w:ascii="SenBJS" w:hAnsi="SenBJS"/>
              </w:rPr>
            </w:pPr>
          </w:p>
        </w:tc>
        <w:tc>
          <w:tcPr>
            <w:tcW w:w="426" w:type="dxa"/>
            <w:tcBorders>
              <w:top w:val="single" w:sz="4" w:space="0" w:color="auto"/>
              <w:bottom w:val="nil"/>
            </w:tcBorders>
          </w:tcPr>
          <w:p w:rsidR="008223FB" w:rsidRDefault="008223FB">
            <w:pPr>
              <w:rPr>
                <w:rFonts w:ascii="SenBJS" w:hAnsi="SenBJS"/>
              </w:rPr>
            </w:pPr>
          </w:p>
        </w:tc>
        <w:tc>
          <w:tcPr>
            <w:tcW w:w="425" w:type="dxa"/>
            <w:tcBorders>
              <w:top w:val="single" w:sz="4" w:space="0" w:color="auto"/>
              <w:bottom w:val="nil"/>
            </w:tcBorders>
          </w:tcPr>
          <w:p w:rsidR="008223FB" w:rsidRDefault="008223FB">
            <w:pPr>
              <w:rPr>
                <w:rFonts w:ascii="SenBJS" w:hAnsi="SenBJS"/>
              </w:rPr>
            </w:pPr>
          </w:p>
        </w:tc>
        <w:tc>
          <w:tcPr>
            <w:tcW w:w="353" w:type="dxa"/>
            <w:tcBorders>
              <w:top w:val="single" w:sz="4" w:space="0" w:color="auto"/>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spacing w:after="160" w:line="256" w:lineRule="auto"/>
              <w:jc w:val="both"/>
              <w:rPr>
                <w:b/>
                <w:bCs/>
                <w:sz w:val="24"/>
                <w:szCs w:val="24"/>
              </w:rPr>
            </w:pPr>
            <w:r>
              <w:rPr>
                <w:b/>
                <w:sz w:val="24"/>
                <w:szCs w:val="24"/>
              </w:rPr>
              <w:t xml:space="preserve">Teil 2  </w:t>
            </w:r>
            <w:r>
              <w:rPr>
                <w:b/>
                <w:bCs/>
                <w:sz w:val="24"/>
                <w:szCs w:val="24"/>
              </w:rPr>
              <w:t xml:space="preserve">Unterrichts- und Qualitätsentwicklung </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spacing w:after="160" w:line="256" w:lineRule="auto"/>
              <w:jc w:val="both"/>
              <w:rPr>
                <w:rFonts w:cstheme="minorHAnsi"/>
              </w:rPr>
            </w:pPr>
            <w:r>
              <w:rPr>
                <w:b/>
              </w:rPr>
              <w:t>2a)</w:t>
            </w:r>
            <w:r w:rsidR="006B04DD">
              <w:t xml:space="preserve"> </w:t>
            </w:r>
            <w:r>
              <w:t xml:space="preserve">Nicht nur ein großer Teil der Schülerinnen und Schüler mit </w:t>
            </w:r>
            <w:r w:rsidR="006B04DD">
              <w:t>Migrationshintergrund,</w:t>
            </w:r>
            <w:r>
              <w:t xml:space="preserve"> sondern auch Kinder, die einsprachig Deutsch aufgewachsen sind, bedürfen der Sprachförderung. Erläutern Sie, welchen Beitrag der Fachbereich Deutsch dazu leisten kann und welche Rolle Sie als Fachbereichsleitung dabei einnehmen.</w:t>
            </w:r>
          </w:p>
          <w:p w:rsidR="008223FB" w:rsidRDefault="006B04DD">
            <w:pPr>
              <w:spacing w:after="160" w:line="256" w:lineRule="auto"/>
              <w:jc w:val="both"/>
            </w:pPr>
            <w:r>
              <w:rPr>
                <w:b/>
              </w:rPr>
              <w:t>2b</w:t>
            </w:r>
            <w:r w:rsidR="00F80CE8">
              <w:rPr>
                <w:b/>
              </w:rPr>
              <w:t>)</w:t>
            </w:r>
            <w:r w:rsidR="00F80CE8">
              <w:t xml:space="preserve"> Die </w:t>
            </w:r>
            <w:r w:rsidR="00C72D0F">
              <w:t>xy</w:t>
            </w:r>
            <w:bookmarkStart w:id="0" w:name="_GoBack"/>
            <w:bookmarkEnd w:id="0"/>
            <w:r w:rsidR="00F80CE8">
              <w:t>-Grundschule ist aufgrund der schwierigen sozialen Lagen der Schülerschaft für die Teilnahme am Startchancenprogramm ausgewählt. Erläutern Sie, welche Aspekte bei der Kompetenzentwicklung im Fach Deutsch berücksichtigt werden sollten, um die Bildungsungleichheiten zu verringern und die Chancengerechtigkeit für die Schülerinnen und Schüler zu fördern. Gehen Sie dabei auf die „Handreichung</w:t>
            </w:r>
            <w:r w:rsidR="00F80CE8">
              <w:rPr>
                <w:color w:val="FF0000"/>
              </w:rPr>
              <w:t xml:space="preserve"> </w:t>
            </w:r>
            <w:r w:rsidR="00F80CE8">
              <w:t xml:space="preserve">Berliner Leseband“ ein. </w:t>
            </w:r>
          </w:p>
          <w:p w:rsidR="008223FB" w:rsidRPr="006B04DD" w:rsidRDefault="006B04DD" w:rsidP="006B04DD">
            <w:pPr>
              <w:spacing w:after="160" w:line="256" w:lineRule="auto"/>
              <w:jc w:val="both"/>
            </w:pPr>
            <w:r>
              <w:rPr>
                <w:b/>
              </w:rPr>
              <w:t>2c</w:t>
            </w:r>
            <w:r w:rsidR="00F80CE8">
              <w:rPr>
                <w:b/>
              </w:rPr>
              <w:t>)</w:t>
            </w:r>
            <w:r w:rsidR="00F80CE8">
              <w:t xml:space="preserve"> Welche besonderen Herausforderungen könnten bei der Umsetzung des Lesebandes auftreten? Erläutern Sie an einem ausgewählten Beispiel, Ihr mögliches Handeln als Fachleitung.</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pStyle w:val="berschrift2"/>
              <w:rPr>
                <w:rFonts w:ascii="Times New Roman" w:hAnsi="Times New Roman"/>
                <w:sz w:val="22"/>
                <w:szCs w:val="22"/>
              </w:rPr>
            </w:pPr>
            <w:r>
              <w:rPr>
                <w:rFonts w:ascii="Times New Roman" w:hAnsi="Times New Roman"/>
                <w:sz w:val="22"/>
                <w:szCs w:val="22"/>
              </w:rPr>
              <w:t>Erwartungshorizont:</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6B04DD" w:rsidRPr="006B04DD" w:rsidRDefault="006B04DD" w:rsidP="006B04DD">
            <w:r w:rsidRPr="006B04DD">
              <w:t xml:space="preserve">Kenntnisse im Prozessmanagement (Verantwortlichkeiten, Terminabsprachen, Beteiligung, fachübergreifende Abstimmung), Kommunikations- und Konfliktfähigkeit, Kenntnis von Moderationsmethoden, Führungsverständnis gegenüber den verschiedenen Statusgruppen, durchgängige Sprachbildung, sprachsensibler Fachunterricht, </w:t>
            </w:r>
            <w:proofErr w:type="spellStart"/>
            <w:r w:rsidRPr="006B04DD">
              <w:t>Scaffolding</w:t>
            </w:r>
            <w:proofErr w:type="spellEnd"/>
            <w:r w:rsidRPr="006B04DD">
              <w:t>, Einbindung entsprechender Medien/Medienbildung, Arbeit in kollegialen Teams, schulinterne Fortbildungsmöglichkeiten</w:t>
            </w:r>
          </w:p>
          <w:p w:rsidR="006B04DD" w:rsidRPr="006B04DD" w:rsidRDefault="006B04DD" w:rsidP="006B04DD"/>
          <w:p w:rsidR="006B04DD" w:rsidRPr="006B04DD" w:rsidRDefault="006B04DD" w:rsidP="006B04DD">
            <w:r w:rsidRPr="006B04DD">
              <w:t xml:space="preserve">Rahmenlehrplan Deutsch, Startchancenprogramm, Handreichung Berliner </w:t>
            </w:r>
            <w:proofErr w:type="spellStart"/>
            <w:r w:rsidRPr="006B04DD">
              <w:t>Leseband</w:t>
            </w:r>
            <w:proofErr w:type="spellEnd"/>
            <w:r w:rsidRPr="006B04DD">
              <w:t xml:space="preserve">, Schulprogrammarbeit, schulinterne Evaluation, </w:t>
            </w:r>
            <w:proofErr w:type="spellStart"/>
            <w:r w:rsidRPr="006B04DD">
              <w:t>SchiC</w:t>
            </w:r>
            <w:proofErr w:type="spellEnd"/>
            <w:r w:rsidRPr="006B04DD">
              <w:t>, Kooperation mit externen Partnern</w:t>
            </w:r>
          </w:p>
          <w:p w:rsidR="006B04DD" w:rsidRPr="006B04DD" w:rsidRDefault="006B04DD" w:rsidP="006B04DD"/>
          <w:p w:rsidR="008223FB" w:rsidRDefault="006B04DD" w:rsidP="006B04DD">
            <w:r w:rsidRPr="006B04DD">
              <w:t>Kommunikations- und Konfliktfähigkeit, Führungsverständnis gegenüber den verschiedenen Statusgruppen (SL, Eltern, Kollegium), Reflektion des Rollenwechsels: Mitglied des Kollegiums – mittlere Führungsebene; Verdeutlichung der eigenen Position im Spannungsverhältnis der verschiedenen Statusgruppen</w:t>
            </w:r>
          </w:p>
          <w:p w:rsidR="006B04DD" w:rsidRDefault="006B04DD" w:rsidP="006B04DD">
            <w:pPr>
              <w:rPr>
                <w:rFonts w:ascii="SenBJS" w:hAnsi="SenBJS"/>
              </w:rPr>
            </w:pP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pStyle w:val="berschrift2"/>
              <w:rPr>
                <w:rFonts w:ascii="Times New Roman" w:hAnsi="Times New Roman"/>
                <w:sz w:val="22"/>
                <w:szCs w:val="22"/>
              </w:rPr>
            </w:pPr>
            <w:r>
              <w:rPr>
                <w:rFonts w:ascii="Times New Roman" w:hAnsi="Times New Roman"/>
                <w:sz w:val="22"/>
                <w:szCs w:val="22"/>
              </w:rPr>
              <w:t>Bewertung:</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F80CE8">
            <w:pPr>
              <w:jc w:val="center"/>
              <w:rPr>
                <w:rFonts w:ascii="SenBJS" w:hAnsi="SenBJS"/>
              </w:rPr>
            </w:pPr>
            <w:r>
              <w:rPr>
                <w:rFonts w:ascii="SenBJS" w:hAnsi="SenBJS"/>
              </w:rPr>
              <w:t>x</w:t>
            </w: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r>
              <w:t xml:space="preserve">Frau </w:t>
            </w:r>
            <w:proofErr w:type="spellStart"/>
            <w:r w:rsidR="006864EB">
              <w:t>xy</w:t>
            </w:r>
            <w:proofErr w:type="spellEnd"/>
            <w:r>
              <w:t xml:space="preserve"> legt sehr eindeutig und nachvollziehbar die besondere Bedeutung des Faches Deutsch als unabdingbare und fächerübergreifende Basiskompetenz für die schulische Entwicklung der SuS in Verbindung mit der Rolle der Fachleitung für Deutsch dar. Sie beantwortet diesen Themenkomplex umfassend und kenntnisreich. Zu den drei Teilaufgaben legte sie alle relevanten Punkte, für alle Anwesenden gut nachvollziehbar, dar.</w:t>
            </w:r>
          </w:p>
          <w:p w:rsidR="008223FB" w:rsidRDefault="00F80CE8">
            <w:r>
              <w:t>Dabei nahm sie Bezug zu aktuellen Entwicklungen der Bildungspolitik.</w:t>
            </w:r>
          </w:p>
          <w:p w:rsidR="008223FB" w:rsidRDefault="00F80CE8">
            <w:r>
              <w:t xml:space="preserve">Sie zeigte, dass sie alle Beteiligten (SuS, Kollegium, Eltern) an Schule mit den unterschiedlichen Bedürfnissen im Blick hat. </w:t>
            </w:r>
          </w:p>
          <w:p w:rsidR="008223FB" w:rsidRDefault="00F80CE8">
            <w:r>
              <w:t xml:space="preserve">Frau </w:t>
            </w:r>
            <w:proofErr w:type="spellStart"/>
            <w:r w:rsidR="006864EB">
              <w:t>xy</w:t>
            </w:r>
            <w:proofErr w:type="spellEnd"/>
            <w:r>
              <w:t xml:space="preserve"> war gut in der Lage, auf Nachfragen zu diesen Themen zu antworten.</w:t>
            </w:r>
          </w:p>
          <w:p w:rsidR="008223FB" w:rsidRDefault="008223FB">
            <w:pPr>
              <w:rPr>
                <w:rFonts w:ascii="SenBJS" w:hAnsi="SenBJS"/>
                <w:u w:val="single"/>
              </w:rPr>
            </w:pPr>
          </w:p>
          <w:p w:rsidR="008223FB" w:rsidRDefault="00F80CE8">
            <w:pPr>
              <w:pStyle w:val="Listenabsatz"/>
              <w:ind w:left="1080"/>
              <w:jc w:val="center"/>
              <w:rPr>
                <w:b/>
                <w:sz w:val="22"/>
                <w:szCs w:val="22"/>
              </w:rPr>
            </w:pPr>
            <w:r>
              <w:rPr>
                <w:b/>
                <w:sz w:val="22"/>
                <w:szCs w:val="22"/>
              </w:rPr>
              <w:t>-gut geeignet -</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6B04DD" w:rsidRDefault="006B04DD">
            <w:pPr>
              <w:spacing w:after="160" w:line="256" w:lineRule="auto"/>
              <w:jc w:val="both"/>
              <w:rPr>
                <w:b/>
                <w:sz w:val="24"/>
                <w:szCs w:val="24"/>
              </w:rPr>
            </w:pPr>
          </w:p>
          <w:p w:rsidR="006B04DD" w:rsidRDefault="006B04DD">
            <w:pPr>
              <w:spacing w:after="160" w:line="256" w:lineRule="auto"/>
              <w:jc w:val="both"/>
              <w:rPr>
                <w:b/>
                <w:sz w:val="24"/>
                <w:szCs w:val="24"/>
              </w:rPr>
            </w:pPr>
          </w:p>
          <w:p w:rsidR="006B04DD" w:rsidRDefault="006B04DD">
            <w:pPr>
              <w:spacing w:after="160" w:line="256" w:lineRule="auto"/>
              <w:jc w:val="both"/>
              <w:rPr>
                <w:b/>
                <w:sz w:val="24"/>
                <w:szCs w:val="24"/>
              </w:rPr>
            </w:pPr>
          </w:p>
          <w:p w:rsidR="006B04DD" w:rsidRDefault="006B04DD">
            <w:pPr>
              <w:spacing w:after="160" w:line="256" w:lineRule="auto"/>
              <w:jc w:val="both"/>
              <w:rPr>
                <w:b/>
                <w:sz w:val="24"/>
                <w:szCs w:val="24"/>
              </w:rPr>
            </w:pPr>
          </w:p>
          <w:p w:rsidR="006B04DD" w:rsidRDefault="006B04DD">
            <w:pPr>
              <w:spacing w:after="160" w:line="256" w:lineRule="auto"/>
              <w:jc w:val="both"/>
              <w:rPr>
                <w:b/>
                <w:sz w:val="24"/>
                <w:szCs w:val="24"/>
              </w:rPr>
            </w:pPr>
          </w:p>
          <w:p w:rsidR="006B04DD" w:rsidRDefault="006B04DD">
            <w:pPr>
              <w:spacing w:after="160" w:line="256" w:lineRule="auto"/>
              <w:jc w:val="both"/>
              <w:rPr>
                <w:b/>
                <w:sz w:val="24"/>
                <w:szCs w:val="24"/>
              </w:rPr>
            </w:pPr>
          </w:p>
          <w:p w:rsidR="006B04DD" w:rsidRDefault="006B04DD">
            <w:pPr>
              <w:spacing w:after="160" w:line="256" w:lineRule="auto"/>
              <w:jc w:val="both"/>
              <w:rPr>
                <w:b/>
                <w:sz w:val="24"/>
                <w:szCs w:val="24"/>
              </w:rPr>
            </w:pPr>
          </w:p>
          <w:p w:rsidR="008223FB" w:rsidRDefault="00F80CE8">
            <w:pPr>
              <w:spacing w:after="160" w:line="256" w:lineRule="auto"/>
              <w:jc w:val="both"/>
              <w:rPr>
                <w:rFonts w:cstheme="minorHAnsi"/>
                <w:b/>
                <w:bCs/>
                <w:sz w:val="24"/>
                <w:szCs w:val="24"/>
              </w:rPr>
            </w:pPr>
            <w:r>
              <w:rPr>
                <w:b/>
                <w:sz w:val="24"/>
                <w:szCs w:val="24"/>
              </w:rPr>
              <w:lastRenderedPageBreak/>
              <w:t xml:space="preserve">Teil 3 </w:t>
            </w:r>
            <w:r>
              <w:rPr>
                <w:rFonts w:cstheme="minorHAnsi"/>
                <w:b/>
                <w:bCs/>
                <w:sz w:val="24"/>
                <w:szCs w:val="24"/>
              </w:rPr>
              <w:t>Verwaltungshandeln</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spacing w:after="160" w:line="256" w:lineRule="auto"/>
              <w:jc w:val="both"/>
              <w:rPr>
                <w:rFonts w:cstheme="minorHAnsi"/>
              </w:rPr>
            </w:pPr>
            <w:r>
              <w:rPr>
                <w:rFonts w:cstheme="minorHAnsi"/>
                <w:b/>
              </w:rPr>
              <w:t>3a)</w:t>
            </w:r>
            <w:r>
              <w:rPr>
                <w:rFonts w:cstheme="minorHAnsi"/>
              </w:rPr>
              <w:t xml:space="preserve">  In Vorbereitung auf den Übergang der Klassenstufe 6 an die Oberschule sollen gemeinsame Klassenarbeiten geschrieben werden. Dabei fällt Ihnen auf, dass eine Klassenarbeit nicht alle vorgegebenen Anforderungsbereiche abprüft. Bei einer anderen Klassenarbeit fehlen angemessen differenzierte Aufgaben für Schüler*innen mit sonderpädagogischem Förderbedarf. Erläutern Sie die Grundsätze, nach welchen Kriterien Klassenarbeiten zu erstellen sind und legen Sie dar, wie Sie mit dieser Situation umgehen. </w:t>
            </w:r>
          </w:p>
          <w:p w:rsidR="008223FB" w:rsidRDefault="00F80CE8" w:rsidP="00F80CE8">
            <w:pPr>
              <w:spacing w:after="160" w:line="256" w:lineRule="auto"/>
              <w:jc w:val="both"/>
              <w:rPr>
                <w:rFonts w:cstheme="minorHAnsi"/>
              </w:rPr>
            </w:pPr>
            <w:r>
              <w:rPr>
                <w:rFonts w:cstheme="minorHAnsi"/>
                <w:b/>
              </w:rPr>
              <w:t>3b)</w:t>
            </w:r>
            <w:r>
              <w:rPr>
                <w:rFonts w:cstheme="minorHAnsi"/>
              </w:rPr>
              <w:t xml:space="preserve"> Eltern legen einen Widerspruch gegen die Zeugnisnote im Fach Deutsch (HJ 6. Klasse) ein, die einen Einfluss auf die Wahl der Oberschule hätte. Sie werden beauftragt, im Rahmen Ihres Aufgabenfeldes den Widerspruch zu bearbeiten. Beschreiben Sie Ihr Vorgehen und gehen Sie auf wesentliche Grundsätze und rechtliche Vorgaben ein. </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pStyle w:val="berschrift2"/>
              <w:rPr>
                <w:rFonts w:ascii="Times New Roman" w:hAnsi="Times New Roman"/>
                <w:sz w:val="22"/>
                <w:szCs w:val="22"/>
              </w:rPr>
            </w:pPr>
            <w:r>
              <w:rPr>
                <w:rFonts w:ascii="Times New Roman" w:hAnsi="Times New Roman"/>
                <w:sz w:val="22"/>
                <w:szCs w:val="22"/>
              </w:rPr>
              <w:t>Erwartungshorizont:</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8223FB">
            <w:pPr>
              <w:pStyle w:val="berschrift2"/>
              <w:rPr>
                <w:rFonts w:ascii="SenBJS" w:hAnsi="SenBJS"/>
              </w:rPr>
            </w:pPr>
          </w:p>
          <w:p w:rsidR="006B04DD" w:rsidRPr="00F80CE8" w:rsidRDefault="006B04DD" w:rsidP="00F80CE8">
            <w:pPr>
              <w:pStyle w:val="berschrift2"/>
              <w:rPr>
                <w:rFonts w:ascii="Times New Roman" w:hAnsi="Times New Roman"/>
                <w:u w:val="none"/>
              </w:rPr>
            </w:pPr>
            <w:r w:rsidRPr="00F80CE8">
              <w:rPr>
                <w:rFonts w:ascii="Times New Roman" w:hAnsi="Times New Roman"/>
                <w:u w:val="none"/>
              </w:rPr>
              <w:t xml:space="preserve">Kenntnisse im Führen von Konfliktgesprächen, </w:t>
            </w:r>
            <w:proofErr w:type="spellStart"/>
            <w:r w:rsidRPr="00F80CE8">
              <w:rPr>
                <w:rFonts w:ascii="Times New Roman" w:hAnsi="Times New Roman"/>
                <w:u w:val="none"/>
              </w:rPr>
              <w:t>GsVO</w:t>
            </w:r>
            <w:proofErr w:type="spellEnd"/>
            <w:r w:rsidRPr="00F80CE8">
              <w:rPr>
                <w:rFonts w:ascii="Times New Roman" w:hAnsi="Times New Roman"/>
                <w:u w:val="none"/>
              </w:rPr>
              <w:t xml:space="preserve"> § 20 – Lernerfolgskontrollen, Fachbrief Grundschule Deutsch Nr. 5, Nachteilsausgleich, </w:t>
            </w:r>
            <w:proofErr w:type="spellStart"/>
            <w:r w:rsidRPr="00F80CE8">
              <w:rPr>
                <w:rFonts w:ascii="Times New Roman" w:hAnsi="Times New Roman"/>
                <w:u w:val="none"/>
              </w:rPr>
              <w:t>SopädVO</w:t>
            </w:r>
            <w:proofErr w:type="spellEnd"/>
          </w:p>
          <w:p w:rsidR="006B04DD" w:rsidRPr="00F80CE8" w:rsidRDefault="006B04DD" w:rsidP="00F80CE8">
            <w:pPr>
              <w:pStyle w:val="berschrift2"/>
              <w:rPr>
                <w:rFonts w:ascii="Times New Roman" w:hAnsi="Times New Roman"/>
                <w:u w:val="none"/>
              </w:rPr>
            </w:pPr>
          </w:p>
          <w:p w:rsidR="008223FB" w:rsidRDefault="006B04DD" w:rsidP="00F80CE8">
            <w:pPr>
              <w:pStyle w:val="berschrift2"/>
              <w:rPr>
                <w:rFonts w:ascii="Times New Roman" w:hAnsi="Times New Roman"/>
                <w:u w:val="none"/>
              </w:rPr>
            </w:pPr>
            <w:proofErr w:type="spellStart"/>
            <w:r w:rsidRPr="00F80CE8">
              <w:rPr>
                <w:rFonts w:ascii="Times New Roman" w:hAnsi="Times New Roman"/>
                <w:u w:val="none"/>
              </w:rPr>
              <w:t>GsVO</w:t>
            </w:r>
            <w:proofErr w:type="spellEnd"/>
            <w:r w:rsidRPr="00F80CE8">
              <w:rPr>
                <w:rFonts w:ascii="Times New Roman" w:hAnsi="Times New Roman"/>
                <w:u w:val="none"/>
              </w:rPr>
              <w:t xml:space="preserve"> § 19,20,21,24, Kenntnisse im Umgang mit Widersprüchen, Widerspruch ohne aufschiebende Wirkung wegen besonderen öffentlichen Interesses, Kenntnisse im Führen von Konfliktgesprächen</w:t>
            </w:r>
          </w:p>
          <w:p w:rsidR="00F80CE8" w:rsidRPr="00F80CE8" w:rsidRDefault="00F80CE8" w:rsidP="00F80CE8"/>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pPr>
              <w:pStyle w:val="berschrift2"/>
              <w:rPr>
                <w:rFonts w:ascii="Times New Roman" w:hAnsi="Times New Roman"/>
                <w:sz w:val="22"/>
                <w:szCs w:val="22"/>
              </w:rPr>
            </w:pPr>
            <w:r>
              <w:rPr>
                <w:rFonts w:ascii="Times New Roman" w:hAnsi="Times New Roman"/>
                <w:sz w:val="22"/>
                <w:szCs w:val="22"/>
              </w:rPr>
              <w:t>Bewertung:</w:t>
            </w: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F80CE8">
            <w:pPr>
              <w:jc w:val="center"/>
              <w:rPr>
                <w:rFonts w:ascii="SenBJS" w:hAnsi="SenBJS"/>
              </w:rPr>
            </w:pPr>
            <w:r>
              <w:rPr>
                <w:rFonts w:ascii="SenBJS" w:hAnsi="SenBJS"/>
              </w:rPr>
              <w:t>x</w:t>
            </w: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7158" w:type="dxa"/>
            <w:tcBorders>
              <w:top w:val="nil"/>
              <w:bottom w:val="nil"/>
            </w:tcBorders>
          </w:tcPr>
          <w:p w:rsidR="008223FB" w:rsidRDefault="00F80CE8">
            <w:r>
              <w:t xml:space="preserve">Frau </w:t>
            </w:r>
            <w:proofErr w:type="spellStart"/>
            <w:r w:rsidR="006864EB">
              <w:t>xy</w:t>
            </w:r>
            <w:proofErr w:type="spellEnd"/>
            <w:r>
              <w:t xml:space="preserve"> erkennt alle Konfliktpotenziale in den beschriebenen Situationen und nennt passende Lösungsmöglichkeiten. Dabei kann sie auf bereits gemachte Erfahrungen zurückgreifen und klare Lösungsstrategien als auch Grenzen deutlich aufzeigen. Sie berücksichtigt in ihren Ausführungen rechtliche Grundlagen.</w:t>
            </w:r>
          </w:p>
          <w:p w:rsidR="008223FB" w:rsidRDefault="00F80CE8">
            <w:r>
              <w:t>Hervorzuheben ist ihre ruhige und zugewandte Art.</w:t>
            </w:r>
          </w:p>
          <w:p w:rsidR="008223FB" w:rsidRDefault="008223FB"/>
          <w:p w:rsidR="008223FB" w:rsidRDefault="008223FB"/>
          <w:p w:rsidR="008223FB" w:rsidRDefault="00F80CE8">
            <w:pPr>
              <w:jc w:val="center"/>
              <w:rPr>
                <w:b/>
                <w:sz w:val="22"/>
                <w:szCs w:val="22"/>
              </w:rPr>
            </w:pPr>
            <w:r>
              <w:rPr>
                <w:b/>
                <w:sz w:val="22"/>
                <w:szCs w:val="22"/>
              </w:rPr>
              <w:t>-gut geeignet-</w:t>
            </w:r>
          </w:p>
          <w:p w:rsidR="00F80CE8" w:rsidRDefault="00F80CE8">
            <w:pPr>
              <w:jc w:val="center"/>
              <w:rPr>
                <w:b/>
                <w:sz w:val="22"/>
                <w:szCs w:val="22"/>
              </w:rPr>
            </w:pPr>
          </w:p>
        </w:tc>
        <w:tc>
          <w:tcPr>
            <w:tcW w:w="425"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426" w:type="dxa"/>
            <w:tcBorders>
              <w:top w:val="nil"/>
              <w:bottom w:val="nil"/>
            </w:tcBorders>
          </w:tcPr>
          <w:p w:rsidR="008223FB" w:rsidRDefault="008223FB">
            <w:pPr>
              <w:rPr>
                <w:rFonts w:ascii="SenBJS" w:hAnsi="SenBJS"/>
              </w:rPr>
            </w:pPr>
          </w:p>
        </w:tc>
        <w:tc>
          <w:tcPr>
            <w:tcW w:w="425" w:type="dxa"/>
            <w:tcBorders>
              <w:top w:val="nil"/>
              <w:bottom w:val="nil"/>
            </w:tcBorders>
          </w:tcPr>
          <w:p w:rsidR="008223FB" w:rsidRDefault="008223FB">
            <w:pPr>
              <w:rPr>
                <w:rFonts w:ascii="SenBJS" w:hAnsi="SenBJS"/>
              </w:rPr>
            </w:pPr>
          </w:p>
        </w:tc>
        <w:tc>
          <w:tcPr>
            <w:tcW w:w="353" w:type="dxa"/>
            <w:tcBorders>
              <w:top w:val="nil"/>
              <w:bottom w:val="nil"/>
            </w:tcBorders>
          </w:tcPr>
          <w:p w:rsidR="008223FB" w:rsidRDefault="008223FB">
            <w:pPr>
              <w:rPr>
                <w:rFonts w:ascii="SenBJS" w:hAnsi="SenBJS"/>
              </w:rPr>
            </w:pPr>
          </w:p>
        </w:tc>
      </w:tr>
      <w:tr w:rsidR="008223FB">
        <w:tc>
          <w:tcPr>
            <w:tcW w:w="9212" w:type="dxa"/>
            <w:gridSpan w:val="6"/>
            <w:tcBorders>
              <w:top w:val="single" w:sz="4" w:space="0" w:color="auto"/>
            </w:tcBorders>
          </w:tcPr>
          <w:p w:rsidR="008223FB" w:rsidRDefault="008223FB">
            <w:pPr>
              <w:pStyle w:val="berschrift3"/>
              <w:rPr>
                <w:rFonts w:ascii="SenBJS" w:hAnsi="SenBJS"/>
              </w:rPr>
            </w:pPr>
          </w:p>
        </w:tc>
      </w:tr>
      <w:tr w:rsidR="008223FB">
        <w:tc>
          <w:tcPr>
            <w:tcW w:w="9212" w:type="dxa"/>
            <w:gridSpan w:val="6"/>
            <w:tcBorders>
              <w:top w:val="single" w:sz="4" w:space="0" w:color="auto"/>
            </w:tcBorders>
          </w:tcPr>
          <w:p w:rsidR="008223FB" w:rsidRDefault="008223FB">
            <w:pPr>
              <w:pStyle w:val="berschrift3"/>
              <w:rPr>
                <w:rFonts w:ascii="SenBJS" w:hAnsi="SenBJS"/>
              </w:rPr>
            </w:pPr>
          </w:p>
          <w:p w:rsidR="008223FB" w:rsidRDefault="00F80CE8">
            <w:pPr>
              <w:pStyle w:val="berschrift3"/>
              <w:rPr>
                <w:rFonts w:ascii="SenBJS" w:hAnsi="SenBJS"/>
              </w:rPr>
            </w:pPr>
            <w:r>
              <w:rPr>
                <w:rFonts w:ascii="SenBJS" w:hAnsi="SenBJS"/>
              </w:rPr>
              <w:t>Ergebnis</w:t>
            </w:r>
            <w:r>
              <w:rPr>
                <w:rStyle w:val="Funotenzeichen"/>
                <w:rFonts w:ascii="SenBJS" w:hAnsi="SenBJS"/>
              </w:rPr>
              <w:footnoteReference w:id="2"/>
            </w:r>
            <w:r>
              <w:rPr>
                <w:rFonts w:ascii="SenBJS" w:hAnsi="SenBJS"/>
              </w:rPr>
              <w:t>:                    gut geeignet</w:t>
            </w:r>
          </w:p>
          <w:p w:rsidR="008223FB" w:rsidRDefault="008223FB">
            <w:pPr>
              <w:rPr>
                <w:rFonts w:ascii="SenBJS" w:hAnsi="SenBJS"/>
                <w:b/>
                <w:sz w:val="22"/>
              </w:rPr>
            </w:pPr>
          </w:p>
        </w:tc>
      </w:tr>
    </w:tbl>
    <w:p w:rsidR="008223FB" w:rsidRDefault="008223FB">
      <w:pPr>
        <w:rPr>
          <w:rFonts w:ascii="SenBJS" w:hAnsi="SenBJS"/>
        </w:rPr>
      </w:pPr>
    </w:p>
    <w:sectPr w:rsidR="008223FB">
      <w:footerReference w:type="default" r:id="rId7"/>
      <w:pgSz w:w="11906" w:h="16838"/>
      <w:pgMar w:top="851" w:right="1133"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0E" w:rsidRDefault="00CF170E">
      <w:r>
        <w:separator/>
      </w:r>
    </w:p>
  </w:endnote>
  <w:endnote w:type="continuationSeparator" w:id="0">
    <w:p w:rsidR="00CF170E" w:rsidRDefault="00CF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nBJ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FB" w:rsidRDefault="00F80CE8">
    <w:pPr>
      <w:pStyle w:val="Fuzeile"/>
      <w:rPr>
        <w:rFonts w:ascii="Arial" w:hAnsi="Arial"/>
        <w:sz w:val="16"/>
      </w:rPr>
    </w:pPr>
    <w:r>
      <w:rPr>
        <w:rFonts w:ascii="Arial" w:hAnsi="Arial"/>
        <w:sz w:val="16"/>
      </w:rPr>
      <w:t>_________________________________________________________________________________________________________</w:t>
    </w:r>
  </w:p>
  <w:p w:rsidR="008223FB" w:rsidRDefault="00F80CE8">
    <w:pPr>
      <w:pStyle w:val="Fuzeile"/>
      <w:rPr>
        <w:rFonts w:ascii="SenBJS" w:hAnsi="SenBJS"/>
        <w:sz w:val="18"/>
        <w:szCs w:val="18"/>
      </w:rPr>
    </w:pPr>
    <w:r>
      <w:rPr>
        <w:rFonts w:ascii="SenBJS" w:hAnsi="SenBJS"/>
        <w:sz w:val="18"/>
        <w:szCs w:val="18"/>
      </w:rPr>
      <w:t xml:space="preserve">6.2_A3 - </w:t>
    </w:r>
    <w:proofErr w:type="spellStart"/>
    <w:r>
      <w:rPr>
        <w:rFonts w:ascii="SenBJS" w:hAnsi="SenBJS"/>
        <w:sz w:val="18"/>
        <w:szCs w:val="18"/>
      </w:rPr>
      <w:t>Auswahlvermerk_Anlage</w:t>
    </w:r>
    <w:proofErr w:type="spellEnd"/>
    <w:r>
      <w:rPr>
        <w:rFonts w:ascii="SenBJS" w:hAnsi="SenBJS"/>
        <w:sz w:val="18"/>
        <w:szCs w:val="18"/>
      </w:rPr>
      <w:t xml:space="preserve"> 3 - Protokoll Auswahlgespräch - </w:t>
    </w:r>
    <w:proofErr w:type="spellStart"/>
    <w:r>
      <w:rPr>
        <w:rFonts w:ascii="SenBJS" w:hAnsi="SenBJS"/>
        <w:sz w:val="18"/>
        <w:szCs w:val="18"/>
      </w:rPr>
      <w:t>SenBJW</w:t>
    </w:r>
    <w:proofErr w:type="spellEnd"/>
    <w:r>
      <w:rPr>
        <w:rFonts w:ascii="SenBJS" w:hAnsi="SenBJS"/>
        <w:sz w:val="18"/>
        <w:szCs w:val="18"/>
      </w:rPr>
      <w:t xml:space="preserve"> I B - 03/2013</w:t>
    </w:r>
    <w:r>
      <w:rPr>
        <w:rFonts w:ascii="SenBJS" w:hAnsi="SenBJS"/>
        <w:sz w:val="18"/>
        <w:szCs w:val="18"/>
      </w:rPr>
      <w:tab/>
    </w:r>
    <w:r>
      <w:rPr>
        <w:rFonts w:ascii="SenBJS" w:hAnsi="SenBJS"/>
        <w:snapToGrid w:val="0"/>
        <w:sz w:val="18"/>
        <w:szCs w:val="18"/>
      </w:rPr>
      <w:t xml:space="preserve">Seite </w:t>
    </w:r>
    <w:r>
      <w:rPr>
        <w:rFonts w:ascii="SenBJS" w:hAnsi="SenBJS"/>
        <w:snapToGrid w:val="0"/>
        <w:sz w:val="18"/>
        <w:szCs w:val="18"/>
      </w:rPr>
      <w:fldChar w:fldCharType="begin"/>
    </w:r>
    <w:r>
      <w:rPr>
        <w:rFonts w:ascii="SenBJS" w:hAnsi="SenBJS"/>
        <w:snapToGrid w:val="0"/>
        <w:sz w:val="18"/>
        <w:szCs w:val="18"/>
      </w:rPr>
      <w:instrText xml:space="preserve"> PAGE </w:instrText>
    </w:r>
    <w:r>
      <w:rPr>
        <w:rFonts w:ascii="SenBJS" w:hAnsi="SenBJS"/>
        <w:snapToGrid w:val="0"/>
        <w:sz w:val="18"/>
        <w:szCs w:val="18"/>
      </w:rPr>
      <w:fldChar w:fldCharType="separate"/>
    </w:r>
    <w:r w:rsidR="00C72D0F">
      <w:rPr>
        <w:rFonts w:ascii="SenBJS" w:hAnsi="SenBJS"/>
        <w:noProof/>
        <w:snapToGrid w:val="0"/>
        <w:sz w:val="18"/>
        <w:szCs w:val="18"/>
      </w:rPr>
      <w:t>3</w:t>
    </w:r>
    <w:r>
      <w:rPr>
        <w:rFonts w:ascii="SenBJS" w:hAnsi="SenBJS"/>
        <w:snapToGrid w:val="0"/>
        <w:sz w:val="18"/>
        <w:szCs w:val="18"/>
      </w:rPr>
      <w:fldChar w:fldCharType="end"/>
    </w:r>
    <w:r>
      <w:rPr>
        <w:rFonts w:ascii="SenBJS" w:hAnsi="SenBJS"/>
        <w:snapToGrid w:val="0"/>
        <w:sz w:val="18"/>
        <w:szCs w:val="18"/>
      </w:rPr>
      <w:t xml:space="preserve"> von </w:t>
    </w:r>
    <w:r>
      <w:rPr>
        <w:rFonts w:ascii="SenBJS" w:hAnsi="SenBJS"/>
        <w:snapToGrid w:val="0"/>
        <w:sz w:val="18"/>
        <w:szCs w:val="18"/>
      </w:rPr>
      <w:fldChar w:fldCharType="begin"/>
    </w:r>
    <w:r>
      <w:rPr>
        <w:rFonts w:ascii="SenBJS" w:hAnsi="SenBJS"/>
        <w:snapToGrid w:val="0"/>
        <w:sz w:val="18"/>
        <w:szCs w:val="18"/>
      </w:rPr>
      <w:instrText xml:space="preserve"> NUMPAGES </w:instrText>
    </w:r>
    <w:r>
      <w:rPr>
        <w:rFonts w:ascii="SenBJS" w:hAnsi="SenBJS"/>
        <w:snapToGrid w:val="0"/>
        <w:sz w:val="18"/>
        <w:szCs w:val="18"/>
      </w:rPr>
      <w:fldChar w:fldCharType="separate"/>
    </w:r>
    <w:r w:rsidR="00C72D0F">
      <w:rPr>
        <w:rFonts w:ascii="SenBJS" w:hAnsi="SenBJS"/>
        <w:noProof/>
        <w:snapToGrid w:val="0"/>
        <w:sz w:val="18"/>
        <w:szCs w:val="18"/>
      </w:rPr>
      <w:t>3</w:t>
    </w:r>
    <w:r>
      <w:rPr>
        <w:rFonts w:ascii="SenBJS" w:hAnsi="SenBJS"/>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0E" w:rsidRDefault="00CF170E">
      <w:r>
        <w:separator/>
      </w:r>
    </w:p>
  </w:footnote>
  <w:footnote w:type="continuationSeparator" w:id="0">
    <w:p w:rsidR="00CF170E" w:rsidRDefault="00CF170E">
      <w:r>
        <w:continuationSeparator/>
      </w:r>
    </w:p>
  </w:footnote>
  <w:footnote w:id="1">
    <w:p w:rsidR="008223FB" w:rsidRDefault="00F80CE8">
      <w:pPr>
        <w:pStyle w:val="Funotentext"/>
        <w:ind w:left="426" w:hanging="426"/>
        <w:rPr>
          <w:rFonts w:ascii="SenBJS" w:hAnsi="SenBJS"/>
        </w:rPr>
      </w:pPr>
      <w:r>
        <w:rPr>
          <w:rStyle w:val="Funotenzeichen"/>
          <w:rFonts w:ascii="SenBJS" w:hAnsi="SenBJS"/>
        </w:rPr>
        <w:footnoteRef/>
      </w:r>
      <w:r>
        <w:rPr>
          <w:rFonts w:ascii="SenBJS" w:hAnsi="SenBJS"/>
        </w:rPr>
        <w:t xml:space="preserve"> </w:t>
      </w:r>
      <w:r>
        <w:rPr>
          <w:rFonts w:ascii="SenBJS" w:hAnsi="SenBJS"/>
        </w:rPr>
        <w:tab/>
        <w:t>Alternativ ist bei den Teilleistungen eine textliche Bewertung der Leistungen unter Verwendung der Begriffe „sehr gut geeignet“, „gut geeignet“, „geeignet“, „weniger geeignet“ bzw. „nicht geeignet“ möglich.</w:t>
      </w:r>
    </w:p>
    <w:p w:rsidR="008223FB" w:rsidRDefault="008223FB">
      <w:pPr>
        <w:pStyle w:val="Funotentext"/>
        <w:ind w:left="426" w:hanging="426"/>
        <w:rPr>
          <w:rFonts w:ascii="SenBJS" w:hAnsi="SenBJS"/>
        </w:rPr>
      </w:pPr>
    </w:p>
  </w:footnote>
  <w:footnote w:id="2">
    <w:p w:rsidR="008223FB" w:rsidRDefault="00F80CE8">
      <w:pPr>
        <w:pStyle w:val="Funotentext"/>
        <w:ind w:left="284" w:hanging="284"/>
      </w:pPr>
      <w:r>
        <w:rPr>
          <w:rStyle w:val="Funotenzeichen"/>
        </w:rPr>
        <w:footnoteRef/>
      </w:r>
      <w:r>
        <w:t xml:space="preserve">  </w:t>
      </w:r>
      <w:r>
        <w:tab/>
      </w:r>
      <w:r>
        <w:rPr>
          <w:rFonts w:ascii="SenBJS" w:hAnsi="SenBJS"/>
        </w:rPr>
        <w:t>Bei der Bewertung des Ergebnisses wird mit Blick auf das angestrebte Amt eine Einschätzung unter Verwendung der Begriffe „sehr gut geeignet“, „gut geeignet“, „geeignet“, „weniger geeignet“ bzw. „nicht geeignet“ erwartet.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F0A"/>
    <w:multiLevelType w:val="hybridMultilevel"/>
    <w:tmpl w:val="9C7CB3EC"/>
    <w:lvl w:ilvl="0" w:tplc="E0F8091E">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F2327"/>
    <w:multiLevelType w:val="multilevel"/>
    <w:tmpl w:val="77428E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C134B5"/>
    <w:multiLevelType w:val="hybridMultilevel"/>
    <w:tmpl w:val="BE067804"/>
    <w:lvl w:ilvl="0" w:tplc="89B45CCA">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 w15:restartNumberingAfterBreak="0">
    <w:nsid w:val="14077D7B"/>
    <w:multiLevelType w:val="hybridMultilevel"/>
    <w:tmpl w:val="1A1E5270"/>
    <w:lvl w:ilvl="0" w:tplc="8BE4119E">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32D022B"/>
    <w:multiLevelType w:val="hybridMultilevel"/>
    <w:tmpl w:val="FFF88E94"/>
    <w:lvl w:ilvl="0" w:tplc="535416B2">
      <w:numFmt w:val="bullet"/>
      <w:lvlText w:val="-"/>
      <w:lvlJc w:val="left"/>
      <w:pPr>
        <w:ind w:left="720" w:hanging="360"/>
      </w:pPr>
      <w:rPr>
        <w:rFonts w:ascii="SenBJS" w:eastAsia="Times New Roman" w:hAnsi="SenBJ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C30F28"/>
    <w:multiLevelType w:val="hybridMultilevel"/>
    <w:tmpl w:val="7ED2A29E"/>
    <w:lvl w:ilvl="0" w:tplc="C8503B9E">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6" w15:restartNumberingAfterBreak="0">
    <w:nsid w:val="4CFC127F"/>
    <w:multiLevelType w:val="hybridMultilevel"/>
    <w:tmpl w:val="2BC448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7160BF"/>
    <w:multiLevelType w:val="hybridMultilevel"/>
    <w:tmpl w:val="79D8BE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B"/>
    <w:rsid w:val="006864EB"/>
    <w:rsid w:val="006B04DD"/>
    <w:rsid w:val="008223FB"/>
    <w:rsid w:val="00A00B34"/>
    <w:rsid w:val="00C72D0F"/>
    <w:rsid w:val="00CD78BE"/>
    <w:rsid w:val="00CF170E"/>
    <w:rsid w:val="00EE26C5"/>
    <w:rsid w:val="00F80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34BCF"/>
  <w15:chartTrackingRefBased/>
  <w15:docId w15:val="{5019105B-FDF7-4F1C-BBC3-D5E7EBAA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outlineLvl w:val="0"/>
    </w:pPr>
    <w:rPr>
      <w:rFonts w:ascii="Arial" w:hAnsi="Arial"/>
      <w:b/>
    </w:rPr>
  </w:style>
  <w:style w:type="paragraph" w:styleId="berschrift2">
    <w:name w:val="heading 2"/>
    <w:basedOn w:val="Standard"/>
    <w:next w:val="Standard"/>
    <w:qFormat/>
    <w:pPr>
      <w:keepNext/>
      <w:outlineLvl w:val="1"/>
    </w:pPr>
    <w:rPr>
      <w:rFonts w:ascii="Arial" w:hAnsi="Arial"/>
      <w:u w:val="single"/>
    </w:rPr>
  </w:style>
  <w:style w:type="paragraph" w:styleId="berschrift3">
    <w:name w:val="heading 3"/>
    <w:basedOn w:val="Standard"/>
    <w:next w:val="Standard"/>
    <w:qFormat/>
    <w:pPr>
      <w:keepNext/>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semiHidden/>
    <w:rPr>
      <w:vertAlign w:val="superscript"/>
    </w:rPr>
  </w:style>
  <w:style w:type="paragraph" w:styleId="Textkrper">
    <w:name w:val="Body Text"/>
    <w:basedOn w:val="Standard"/>
    <w:pPr>
      <w:jc w:val="both"/>
    </w:pPr>
    <w:rPr>
      <w:rFonts w:ascii="Arial" w:hAnsi="Arial"/>
      <w:sz w:val="24"/>
    </w:rPr>
  </w:style>
  <w:style w:type="character" w:customStyle="1" w:styleId="berschrift1Zchn">
    <w:name w:val="Überschrift 1 Zchn"/>
    <w:link w:val="berschrift1"/>
    <w:rPr>
      <w:rFonts w:ascii="Arial" w:hAnsi="Arial"/>
      <w:b/>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57217">
      <w:bodyDiv w:val="1"/>
      <w:marLeft w:val="0"/>
      <w:marRight w:val="0"/>
      <w:marTop w:val="0"/>
      <w:marBottom w:val="0"/>
      <w:divBdr>
        <w:top w:val="none" w:sz="0" w:space="0" w:color="auto"/>
        <w:left w:val="none" w:sz="0" w:space="0" w:color="auto"/>
        <w:bottom w:val="none" w:sz="0" w:space="0" w:color="auto"/>
        <w:right w:val="none" w:sz="0" w:space="0" w:color="auto"/>
      </w:divBdr>
    </w:div>
    <w:div w:id="1454717201">
      <w:bodyDiv w:val="1"/>
      <w:marLeft w:val="0"/>
      <w:marRight w:val="0"/>
      <w:marTop w:val="0"/>
      <w:marBottom w:val="0"/>
      <w:divBdr>
        <w:top w:val="none" w:sz="0" w:space="0" w:color="auto"/>
        <w:left w:val="none" w:sz="0" w:space="0" w:color="auto"/>
        <w:bottom w:val="none" w:sz="0" w:space="0" w:color="auto"/>
        <w:right w:val="none" w:sz="0" w:space="0" w:color="auto"/>
      </w:divBdr>
    </w:div>
    <w:div w:id="1807696192">
      <w:bodyDiv w:val="1"/>
      <w:marLeft w:val="0"/>
      <w:marRight w:val="0"/>
      <w:marTop w:val="0"/>
      <w:marBottom w:val="0"/>
      <w:divBdr>
        <w:top w:val="none" w:sz="0" w:space="0" w:color="auto"/>
        <w:left w:val="none" w:sz="0" w:space="0" w:color="auto"/>
        <w:bottom w:val="none" w:sz="0" w:space="0" w:color="auto"/>
        <w:right w:val="none" w:sz="0" w:space="0" w:color="auto"/>
      </w:divBdr>
    </w:div>
    <w:div w:id="1933970636">
      <w:bodyDiv w:val="1"/>
      <w:marLeft w:val="0"/>
      <w:marRight w:val="0"/>
      <w:marTop w:val="0"/>
      <w:marBottom w:val="0"/>
      <w:divBdr>
        <w:top w:val="none" w:sz="0" w:space="0" w:color="auto"/>
        <w:left w:val="none" w:sz="0" w:space="0" w:color="auto"/>
        <w:bottom w:val="none" w:sz="0" w:space="0" w:color="auto"/>
        <w:right w:val="none" w:sz="0" w:space="0" w:color="auto"/>
      </w:divBdr>
    </w:div>
    <w:div w:id="20304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Senatsverwaltung für Bildung,                                                           Datum:</vt:lpstr>
    </vt:vector>
  </TitlesOfParts>
  <Company>Landesschulamt Berlin</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Senatsverwaltung für Bildung,                                                           Datum:</dc:title>
  <dc:subject/>
  <dc:creator>FISCHERI</dc:creator>
  <cp:keywords/>
  <dc:description/>
  <cp:lastModifiedBy>Stang, Markus</cp:lastModifiedBy>
  <cp:revision>11</cp:revision>
  <cp:lastPrinted>2025-01-27T09:29:00Z</cp:lastPrinted>
  <dcterms:created xsi:type="dcterms:W3CDTF">2025-01-26T14:03:00Z</dcterms:created>
  <dcterms:modified xsi:type="dcterms:W3CDTF">2025-07-02T08:51:00Z</dcterms:modified>
</cp:coreProperties>
</file>