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60" w:rsidRDefault="001E5497">
      <w:pPr>
        <w:tabs>
          <w:tab w:val="left" w:pos="6379"/>
          <w:tab w:val="left" w:pos="7371"/>
          <w:tab w:val="left" w:pos="8222"/>
        </w:tabs>
        <w:ind w:right="-568"/>
        <w:rPr>
          <w:rFonts w:ascii="SenBJS" w:hAnsi="SenBJS"/>
          <w:sz w:val="22"/>
        </w:rPr>
      </w:pPr>
      <w:r>
        <w:rPr>
          <w:rFonts w:ascii="SenBJS" w:hAnsi="SenBJS"/>
          <w:sz w:val="22"/>
        </w:rPr>
        <w:t>Senatsverwaltung für Bildung, Jugend und Wissenschaft</w:t>
      </w:r>
      <w:r>
        <w:rPr>
          <w:rFonts w:ascii="SenBJS" w:hAnsi="SenBJS"/>
          <w:sz w:val="22"/>
        </w:rPr>
        <w:tab/>
      </w:r>
      <w:r>
        <w:rPr>
          <w:rFonts w:ascii="SenBJS" w:hAnsi="SenBJS"/>
          <w:sz w:val="22"/>
        </w:rPr>
        <w:tab/>
        <w:t>Datum:  06.02.2025</w:t>
      </w:r>
    </w:p>
    <w:p w:rsidR="001A5D60" w:rsidRDefault="001E5497">
      <w:pPr>
        <w:tabs>
          <w:tab w:val="left" w:pos="6379"/>
          <w:tab w:val="left" w:pos="7371"/>
          <w:tab w:val="left" w:pos="8222"/>
        </w:tabs>
        <w:ind w:right="-568"/>
        <w:rPr>
          <w:rFonts w:ascii="SenBJS" w:hAnsi="SenBJS"/>
          <w:sz w:val="22"/>
        </w:rPr>
      </w:pPr>
      <w:r>
        <w:rPr>
          <w:rFonts w:ascii="SenBJS" w:hAnsi="SenBJS"/>
          <w:sz w:val="22"/>
        </w:rPr>
        <w:t>Stellenzeichen: 1</w:t>
      </w:r>
      <w:r w:rsidR="000D0AC4">
        <w:rPr>
          <w:rFonts w:ascii="SenBJS" w:hAnsi="SenBJS"/>
          <w:sz w:val="22"/>
        </w:rPr>
        <w:t>2 I 2</w:t>
      </w:r>
      <w:r>
        <w:rPr>
          <w:rFonts w:ascii="SenBJS" w:hAnsi="SenBJS"/>
          <w:sz w:val="22"/>
        </w:rPr>
        <w:tab/>
      </w:r>
      <w:r>
        <w:rPr>
          <w:rFonts w:ascii="SenBJS" w:hAnsi="SenBJS"/>
          <w:sz w:val="22"/>
        </w:rPr>
        <w:tab/>
        <w:t>Telefon:</w:t>
      </w:r>
      <w:r>
        <w:rPr>
          <w:rFonts w:ascii="SenBJS" w:hAnsi="SenBJS"/>
          <w:sz w:val="22"/>
        </w:rPr>
        <w:tab/>
      </w:r>
      <w:r w:rsidR="000D0AC4">
        <w:rPr>
          <w:rFonts w:ascii="SenBJS" w:hAnsi="SenBJS"/>
          <w:sz w:val="22"/>
          <w:szCs w:val="22"/>
        </w:rPr>
        <w:t>90249 1937</w:t>
      </w:r>
    </w:p>
    <w:p w:rsidR="001A5D60" w:rsidRDefault="001A5D60">
      <w:pPr>
        <w:rPr>
          <w:rFonts w:ascii="SenBJS" w:hAnsi="SenBJS"/>
          <w:sz w:val="22"/>
        </w:rPr>
      </w:pPr>
    </w:p>
    <w:p w:rsidR="001A5D60" w:rsidRDefault="001A5D60">
      <w:pPr>
        <w:rPr>
          <w:rFonts w:ascii="SenBJS" w:hAnsi="SenBJS"/>
          <w:sz w:val="22"/>
        </w:rPr>
      </w:pPr>
    </w:p>
    <w:p w:rsidR="001A5D60" w:rsidRDefault="001E5497">
      <w:pPr>
        <w:ind w:left="3686" w:hanging="3686"/>
        <w:rPr>
          <w:rFonts w:ascii="SenBJS" w:hAnsi="SenBJS"/>
          <w:sz w:val="22"/>
          <w:szCs w:val="22"/>
        </w:rPr>
      </w:pPr>
      <w:r>
        <w:rPr>
          <w:rFonts w:ascii="SenBJS" w:hAnsi="SenBJS"/>
          <w:b/>
          <w:sz w:val="22"/>
          <w:szCs w:val="22"/>
        </w:rPr>
        <w:t xml:space="preserve">Anlage 2 zum Auswahlvermerk </w:t>
      </w:r>
      <w:r>
        <w:rPr>
          <w:rFonts w:ascii="SenBJS" w:hAnsi="SenBJS"/>
          <w:b/>
          <w:sz w:val="22"/>
          <w:szCs w:val="22"/>
        </w:rPr>
        <w:tab/>
        <w:t>Protokoll zum Personalgespräch (Analyse einer Unterrichtstunde und Beratung der Lehrkraft)</w:t>
      </w:r>
    </w:p>
    <w:p w:rsidR="001A5D60" w:rsidRDefault="001A5D60">
      <w:pPr>
        <w:jc w:val="both"/>
        <w:rPr>
          <w:rFonts w:ascii="SenBJS" w:hAnsi="SenBJS"/>
          <w:sz w:val="22"/>
        </w:rPr>
      </w:pPr>
    </w:p>
    <w:p w:rsidR="001A5D60" w:rsidRDefault="001A5D60">
      <w:pPr>
        <w:jc w:val="both"/>
        <w:rPr>
          <w:rFonts w:ascii="SenBJS" w:hAnsi="SenBJ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122"/>
      </w:tblGrid>
      <w:tr w:rsidR="001A5D60">
        <w:tc>
          <w:tcPr>
            <w:tcW w:w="2235" w:type="dxa"/>
            <w:shd w:val="clear" w:color="auto" w:fill="auto"/>
          </w:tcPr>
          <w:p w:rsidR="001A5D60" w:rsidRDefault="001E549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b w:val="0"/>
              </w:rPr>
            </w:pPr>
            <w:r>
              <w:rPr>
                <w:rFonts w:ascii="SenBJS" w:hAnsi="SenBJS"/>
                <w:b w:val="0"/>
              </w:rPr>
              <w:t>Kennzahl</w:t>
            </w:r>
          </w:p>
        </w:tc>
        <w:tc>
          <w:tcPr>
            <w:tcW w:w="7261" w:type="dxa"/>
            <w:shd w:val="clear" w:color="auto" w:fill="auto"/>
          </w:tcPr>
          <w:p w:rsidR="001A5D60" w:rsidRDefault="001A5D60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</w:p>
        </w:tc>
      </w:tr>
      <w:tr w:rsidR="001A5D60">
        <w:tc>
          <w:tcPr>
            <w:tcW w:w="2235" w:type="dxa"/>
            <w:shd w:val="clear" w:color="auto" w:fill="auto"/>
          </w:tcPr>
          <w:p w:rsidR="001A5D60" w:rsidRDefault="001E549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b w:val="0"/>
              </w:rPr>
            </w:pPr>
            <w:r>
              <w:rPr>
                <w:rFonts w:ascii="SenBJS" w:hAnsi="SenBJS"/>
                <w:b w:val="0"/>
              </w:rPr>
              <w:t>Funktionsstelle</w:t>
            </w:r>
          </w:p>
        </w:tc>
        <w:tc>
          <w:tcPr>
            <w:tcW w:w="7261" w:type="dxa"/>
            <w:shd w:val="clear" w:color="auto" w:fill="auto"/>
          </w:tcPr>
          <w:p w:rsidR="001A5D60" w:rsidRDefault="001E549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Fachleitung Deutsch an einer Grundschule</w:t>
            </w:r>
          </w:p>
        </w:tc>
      </w:tr>
      <w:tr w:rsidR="001A5D60">
        <w:tc>
          <w:tcPr>
            <w:tcW w:w="2235" w:type="dxa"/>
            <w:shd w:val="clear" w:color="auto" w:fill="auto"/>
          </w:tcPr>
          <w:p w:rsidR="001A5D60" w:rsidRDefault="001E549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b w:val="0"/>
              </w:rPr>
            </w:pPr>
            <w:r>
              <w:rPr>
                <w:rFonts w:ascii="SenBJS" w:hAnsi="SenBJS"/>
                <w:b w:val="0"/>
              </w:rPr>
              <w:t>Schule</w:t>
            </w:r>
          </w:p>
        </w:tc>
        <w:tc>
          <w:tcPr>
            <w:tcW w:w="7261" w:type="dxa"/>
            <w:shd w:val="clear" w:color="auto" w:fill="auto"/>
          </w:tcPr>
          <w:p w:rsidR="001A5D60" w:rsidRDefault="001A5D60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</w:p>
        </w:tc>
      </w:tr>
      <w:tr w:rsidR="001A5D60">
        <w:tc>
          <w:tcPr>
            <w:tcW w:w="2235" w:type="dxa"/>
            <w:shd w:val="clear" w:color="auto" w:fill="auto"/>
          </w:tcPr>
          <w:p w:rsidR="001A5D60" w:rsidRDefault="001E549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b w:val="0"/>
              </w:rPr>
            </w:pPr>
            <w:r>
              <w:rPr>
                <w:rFonts w:ascii="SenBJS" w:hAnsi="SenBJS"/>
                <w:b w:val="0"/>
              </w:rPr>
              <w:t>Bewerber/in</w:t>
            </w:r>
          </w:p>
        </w:tc>
        <w:tc>
          <w:tcPr>
            <w:tcW w:w="7261" w:type="dxa"/>
            <w:shd w:val="clear" w:color="auto" w:fill="auto"/>
          </w:tcPr>
          <w:p w:rsidR="001A5D60" w:rsidRDefault="001A5D60" w:rsidP="000D0AC4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</w:p>
        </w:tc>
      </w:tr>
      <w:tr w:rsidR="001A5D60">
        <w:tc>
          <w:tcPr>
            <w:tcW w:w="2235" w:type="dxa"/>
            <w:shd w:val="clear" w:color="auto" w:fill="auto"/>
          </w:tcPr>
          <w:p w:rsidR="001A5D60" w:rsidRDefault="001E549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b w:val="0"/>
              </w:rPr>
            </w:pPr>
            <w:r>
              <w:rPr>
                <w:rFonts w:ascii="SenBJS" w:hAnsi="SenBJS"/>
                <w:b w:val="0"/>
              </w:rPr>
              <w:t>Teilnehmer/innen</w:t>
            </w:r>
          </w:p>
        </w:tc>
        <w:tc>
          <w:tcPr>
            <w:tcW w:w="7261" w:type="dxa"/>
            <w:shd w:val="clear" w:color="auto" w:fill="auto"/>
          </w:tcPr>
          <w:p w:rsidR="001A5D60" w:rsidRDefault="001A5D60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</w:p>
        </w:tc>
      </w:tr>
    </w:tbl>
    <w:p w:rsidR="001A5D60" w:rsidRDefault="001A5D60">
      <w:pPr>
        <w:rPr>
          <w:rFonts w:ascii="SenBJS" w:hAnsi="SenBJS"/>
        </w:rPr>
      </w:pPr>
    </w:p>
    <w:p w:rsidR="001A5D60" w:rsidRDefault="001A5D60">
      <w:pPr>
        <w:rPr>
          <w:rFonts w:ascii="SenBJS" w:hAnsi="SenBJ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25"/>
        <w:gridCol w:w="425"/>
        <w:gridCol w:w="426"/>
        <w:gridCol w:w="425"/>
        <w:gridCol w:w="353"/>
      </w:tblGrid>
      <w:tr w:rsidR="001A5D60">
        <w:tc>
          <w:tcPr>
            <w:tcW w:w="7158" w:type="dxa"/>
            <w:tcBorders>
              <w:bottom w:val="nil"/>
            </w:tcBorders>
          </w:tcPr>
          <w:p w:rsidR="001A5D60" w:rsidRDefault="001E5497">
            <w:pPr>
              <w:pStyle w:val="berschrift1"/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Erörterungsgegenstand / Erwartungshorizont</w:t>
            </w:r>
          </w:p>
        </w:tc>
        <w:tc>
          <w:tcPr>
            <w:tcW w:w="2054" w:type="dxa"/>
            <w:gridSpan w:val="5"/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Bewertung</w:t>
            </w:r>
            <w:r>
              <w:rPr>
                <w:rStyle w:val="Funotenzeichen"/>
                <w:rFonts w:ascii="SenBJS" w:hAnsi="SenBJS"/>
              </w:rPr>
              <w:footnoteReference w:id="1"/>
            </w: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4</w:t>
            </w:r>
          </w:p>
        </w:tc>
        <w:tc>
          <w:tcPr>
            <w:tcW w:w="353" w:type="dxa"/>
            <w:tcBorders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5</w:t>
            </w:r>
          </w:p>
        </w:tc>
      </w:tr>
      <w:tr w:rsidR="001A5D60">
        <w:tc>
          <w:tcPr>
            <w:tcW w:w="7158" w:type="dxa"/>
            <w:tcBorders>
              <w:bottom w:val="nil"/>
            </w:tcBorders>
          </w:tcPr>
          <w:p w:rsidR="001A5D60" w:rsidRDefault="001A5D60">
            <w:pPr>
              <w:rPr>
                <w:rFonts w:ascii="SenBJS" w:hAnsi="SenBJS"/>
                <w:b/>
                <w:u w:val="single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rPr>
                <w:rFonts w:ascii="SenBJS" w:hAnsi="SenBJS"/>
                <w:b/>
                <w:u w:val="single"/>
              </w:rPr>
            </w:pPr>
            <w:r>
              <w:rPr>
                <w:rFonts w:ascii="SenBJS" w:hAnsi="SenBJS"/>
                <w:b/>
                <w:u w:val="single"/>
              </w:rPr>
              <w:t>Fachkompetenz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rPr>
                <w:rFonts w:ascii="SenBJS" w:hAnsi="SenBJS"/>
                <w:sz w:val="16"/>
              </w:rPr>
            </w:pPr>
            <w:r>
              <w:rPr>
                <w:rFonts w:ascii="SenBJS" w:hAnsi="SenBJS"/>
                <w:sz w:val="16"/>
              </w:rPr>
              <w:t>Beurteilung und Bewertung der Unterrichtsstunden in Planung und Durchführung: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</w:rPr>
            </w:pPr>
            <w:r>
              <w:rPr>
                <w:rFonts w:ascii="SenBJS" w:hAnsi="SenBJS"/>
              </w:rPr>
              <w:t>Erwartungshorizont: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sz w:val="16"/>
                <w:u w:val="none"/>
              </w:rPr>
            </w:pPr>
            <w:r>
              <w:rPr>
                <w:rFonts w:ascii="SenBJS" w:hAnsi="SenBJS"/>
                <w:sz w:val="16"/>
                <w:u w:val="none"/>
              </w:rPr>
              <w:t>Es wird erwartet, dass der/die Bewerber/in den Unterricht korrekt bewertet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sz w:val="16"/>
                <w:u w:val="none"/>
              </w:rPr>
            </w:pPr>
            <w:r>
              <w:rPr>
                <w:rFonts w:ascii="SenBJS" w:hAnsi="SenBJS"/>
                <w:sz w:val="16"/>
                <w:u w:val="none"/>
              </w:rPr>
              <w:t>und eine begründete Beurteilung abgibt.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A5D60">
            <w:pPr>
              <w:pStyle w:val="berschrift2"/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</w:rPr>
            </w:pPr>
            <w:r>
              <w:rPr>
                <w:rFonts w:ascii="SenBJS" w:hAnsi="SenBJS"/>
              </w:rPr>
              <w:t>Bewertung: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x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Die Hospitation einer Unterrichtsstunde fand am 17.01.2025 in der 2. Stunde im Fach Deutsch in einer 3. Klasse der </w:t>
            </w:r>
            <w:r w:rsidR="00E34F99">
              <w:rPr>
                <w:rFonts w:ascii="Times New Roman" w:hAnsi="Times New Roman"/>
                <w:u w:val="none"/>
              </w:rPr>
              <w:t>ab-Grundschule (12Gxy</w:t>
            </w:r>
            <w:bookmarkStart w:id="0" w:name="_GoBack"/>
            <w:bookmarkEnd w:id="0"/>
            <w:r>
              <w:rPr>
                <w:rFonts w:ascii="Times New Roman" w:hAnsi="Times New Roman"/>
                <w:u w:val="none"/>
              </w:rPr>
              <w:t>) statt.</w:t>
            </w:r>
          </w:p>
          <w:p w:rsidR="001A5D60" w:rsidRDefault="001E5497">
            <w:r>
              <w:t xml:space="preserve">Frau </w:t>
            </w:r>
            <w:proofErr w:type="spellStart"/>
            <w:r w:rsidR="000722DB">
              <w:t>xy</w:t>
            </w:r>
            <w:proofErr w:type="spellEnd"/>
            <w:r w:rsidR="000722DB">
              <w:t xml:space="preserve"> </w:t>
            </w:r>
            <w:r>
              <w:t xml:space="preserve">war auf den Unterrichtsbesuch gut vorbereitet. Sie stellte sich in der Rolle als Fachleitung Deutsch vor. Der beobachteten Kollegin </w:t>
            </w:r>
            <w:proofErr w:type="spellStart"/>
            <w:r w:rsidR="000722DB">
              <w:t>xy</w:t>
            </w:r>
            <w:proofErr w:type="spellEnd"/>
            <w:r w:rsidR="000722DB">
              <w:t xml:space="preserve"> </w:t>
            </w:r>
            <w:r>
              <w:t xml:space="preserve">gab sie die Möglichkeit, ihre Stunde selbständig und ausführlich zu reflektieren. Sie ging sehr wertschätzend auf Frau </w:t>
            </w:r>
            <w:proofErr w:type="spellStart"/>
            <w:r w:rsidR="000722DB">
              <w:t>xy</w:t>
            </w:r>
            <w:proofErr w:type="spellEnd"/>
            <w:r>
              <w:t xml:space="preserve"> ein und beschrieb die Lernsituationen in der Stunde fachlich richtig.</w:t>
            </w:r>
          </w:p>
          <w:p w:rsidR="001A5D60" w:rsidRDefault="001E5497">
            <w:r>
              <w:t xml:space="preserve">Vertiefend bearbeitete Frau </w:t>
            </w:r>
            <w:proofErr w:type="spellStart"/>
            <w:r w:rsidR="000722DB">
              <w:t>xy</w:t>
            </w:r>
            <w:proofErr w:type="spellEnd"/>
            <w:r>
              <w:t xml:space="preserve"> mit der Kollegin die Schwerpunkte „Differenzierung für schreibschwache </w:t>
            </w:r>
            <w:proofErr w:type="spellStart"/>
            <w:r>
              <w:t>SuS</w:t>
            </w:r>
            <w:proofErr w:type="spellEnd"/>
            <w:r>
              <w:t xml:space="preserve">“ und „Zeitmanagement“. Die Hinweise, die Frau </w:t>
            </w:r>
            <w:proofErr w:type="spellStart"/>
            <w:r w:rsidR="000722DB">
              <w:t>xy</w:t>
            </w:r>
            <w:proofErr w:type="spellEnd"/>
            <w:r>
              <w:t xml:space="preserve"> der Kollegin gab, konnte diese annehmen und ein weiteres mögliches Handeln daraus ableiten.</w:t>
            </w:r>
          </w:p>
          <w:p w:rsidR="001A5D60" w:rsidRDefault="001E5497" w:rsidP="000722DB">
            <w:r>
              <w:t xml:space="preserve">Frau </w:t>
            </w:r>
            <w:proofErr w:type="spellStart"/>
            <w:r w:rsidR="000722DB">
              <w:t>xy</w:t>
            </w:r>
            <w:proofErr w:type="spellEnd"/>
            <w:r>
              <w:t xml:space="preserve"> bewertete diese Stunde </w:t>
            </w:r>
            <w:r w:rsidR="000D0AC4">
              <w:t>im Überwiegenden korrekt</w:t>
            </w:r>
            <w: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pStyle w:val="berschrift2"/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Methodik der Gesprächsführung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A5D60">
            <w:pPr>
              <w:pStyle w:val="berschrift2"/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</w:rPr>
            </w:pPr>
            <w:r>
              <w:rPr>
                <w:rFonts w:ascii="SenBJS" w:hAnsi="SenBJS"/>
              </w:rPr>
              <w:t>Erwartungshorizont: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sz w:val="16"/>
                <w:u w:val="none"/>
              </w:rPr>
            </w:pPr>
            <w:r>
              <w:rPr>
                <w:rFonts w:ascii="SenBJS" w:hAnsi="SenBJS" w:cs="Arial"/>
                <w:sz w:val="16"/>
                <w:szCs w:val="16"/>
                <w:u w:val="none"/>
              </w:rPr>
              <w:t xml:space="preserve">Es wird erwartet, dass der/die Bewerber/in eine von ihm/ihr gesteuerte und gezielte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sz w:val="16"/>
                <w:u w:val="none"/>
              </w:rPr>
            </w:pPr>
            <w:r>
              <w:rPr>
                <w:rFonts w:ascii="SenBJS" w:hAnsi="SenBJS" w:cs="Arial"/>
                <w:sz w:val="16"/>
                <w:szCs w:val="16"/>
                <w:u w:val="none"/>
              </w:rPr>
              <w:t>Gesprächsführung zeigt.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A5D60">
            <w:pPr>
              <w:pStyle w:val="berschrift2"/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</w:rPr>
            </w:pPr>
            <w:r>
              <w:rPr>
                <w:rFonts w:ascii="SenBJS" w:hAnsi="SenBJS"/>
              </w:rPr>
              <w:t>Bewertung: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x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1A5D60" w:rsidRDefault="001E5497">
            <w:pPr>
              <w:pStyle w:val="berschrift2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Frau </w:t>
            </w:r>
            <w:proofErr w:type="spellStart"/>
            <w:r w:rsidR="000722DB">
              <w:rPr>
                <w:rFonts w:ascii="Times New Roman" w:hAnsi="Times New Roman"/>
                <w:u w:val="none"/>
              </w:rPr>
              <w:t>xy</w:t>
            </w:r>
            <w:proofErr w:type="spellEnd"/>
            <w:r>
              <w:rPr>
                <w:rFonts w:ascii="Times New Roman" w:hAnsi="Times New Roman"/>
                <w:u w:val="none"/>
              </w:rPr>
              <w:t xml:space="preserve"> führte durch das zugewandte und freundliche Gespräch, setzte Schwerpunkte, die bearbeitet wurden und gab Hinweise und Tipps, die durch die Kollegin angenommen werden konnten.</w:t>
            </w:r>
          </w:p>
          <w:p w:rsidR="001A5D60" w:rsidRDefault="001E5497">
            <w:r>
              <w:t>An kritischen Stellen ist die Beratung nur in Ansätzen gelungen.</w:t>
            </w:r>
          </w:p>
          <w:p w:rsidR="001A5D60" w:rsidRDefault="001A5D60">
            <w:pPr>
              <w:rPr>
                <w:rFonts w:ascii="SenBJS" w:hAnsi="SenBJS"/>
              </w:rPr>
            </w:pPr>
          </w:p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</w:tbl>
    <w:p w:rsidR="001A5D60" w:rsidRDefault="001A5D60">
      <w:pPr>
        <w:rPr>
          <w:rFonts w:ascii="SenBJS" w:hAnsi="SenBJ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25"/>
        <w:gridCol w:w="425"/>
        <w:gridCol w:w="426"/>
        <w:gridCol w:w="425"/>
        <w:gridCol w:w="353"/>
      </w:tblGrid>
      <w:tr w:rsidR="001A5D60">
        <w:tc>
          <w:tcPr>
            <w:tcW w:w="7158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pStyle w:val="berschrift2"/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Beratungs- und Sozialkompetenz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A5D60">
            <w:pPr>
              <w:pStyle w:val="berschrift2"/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</w:rPr>
            </w:pPr>
            <w:r>
              <w:rPr>
                <w:rFonts w:ascii="SenBJS" w:hAnsi="SenBJS"/>
              </w:rPr>
              <w:t>Erwartungshorizont: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sz w:val="16"/>
                <w:u w:val="none"/>
              </w:rPr>
            </w:pPr>
            <w:r>
              <w:rPr>
                <w:rFonts w:ascii="SenBJS" w:hAnsi="SenBJS"/>
                <w:sz w:val="16"/>
                <w:u w:val="none"/>
              </w:rPr>
              <w:t>Es wird erwartet, dass der/die Bewerber/in eine adressatenbezogene Beratung durchführt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  <w:sz w:val="16"/>
                <w:u w:val="none"/>
              </w:rPr>
            </w:pPr>
            <w:r>
              <w:rPr>
                <w:rFonts w:ascii="SenBJS" w:hAnsi="SenBJS"/>
                <w:sz w:val="16"/>
                <w:u w:val="none"/>
              </w:rPr>
              <w:t>und dabei seine/ihre Sozialkompetenz nachweist.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A5D60">
            <w:pPr>
              <w:pStyle w:val="berschrift2"/>
              <w:rPr>
                <w:rFonts w:ascii="SenBJS" w:hAnsi="SenBJS"/>
                <w:sz w:val="16"/>
                <w:u w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nil"/>
            </w:tcBorders>
          </w:tcPr>
          <w:p w:rsidR="001A5D60" w:rsidRDefault="001E5497">
            <w:pPr>
              <w:pStyle w:val="berschrift2"/>
              <w:rPr>
                <w:rFonts w:ascii="SenBJS" w:hAnsi="SenBJS"/>
              </w:rPr>
            </w:pPr>
            <w:r>
              <w:rPr>
                <w:rFonts w:ascii="SenBJS" w:hAnsi="SenBJS"/>
              </w:rPr>
              <w:t>Bewertung: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A5D60" w:rsidRDefault="001E5497">
            <w:pPr>
              <w:jc w:val="center"/>
              <w:rPr>
                <w:rFonts w:ascii="SenBJS" w:hAnsi="SenBJS"/>
              </w:rPr>
            </w:pPr>
            <w:r>
              <w:rPr>
                <w:rFonts w:ascii="SenBJS" w:hAnsi="SenBJS"/>
              </w:rPr>
              <w:t>x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1A5D60" w:rsidRDefault="001E5497">
            <w:pPr>
              <w:pStyle w:val="berschrift2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Frau </w:t>
            </w:r>
            <w:proofErr w:type="spellStart"/>
            <w:r w:rsidR="000722DB">
              <w:rPr>
                <w:rFonts w:ascii="Times New Roman" w:hAnsi="Times New Roman"/>
                <w:u w:val="none"/>
              </w:rPr>
              <w:t>xy</w:t>
            </w:r>
            <w:proofErr w:type="spellEnd"/>
            <w:r>
              <w:rPr>
                <w:rFonts w:ascii="Times New Roman" w:hAnsi="Times New Roman"/>
                <w:u w:val="none"/>
              </w:rPr>
              <w:t xml:space="preserve"> hat sich auf den Unterrichtsbesuch und das anschließende Beratungsgespräch angemessen vorbereitet. Dies führte zu einer strukturierten und angenehmen Beratungssituation. </w:t>
            </w:r>
          </w:p>
          <w:p w:rsidR="001A5D60" w:rsidRDefault="001E5497">
            <w:r>
              <w:t>Sie begab sich fachlich kompetent auf Augenhöhe der Lehrkraft, so dass diese ihre Anregungen uneingeschränkt annehmen konnte.</w:t>
            </w:r>
          </w:p>
          <w:p w:rsidR="001A5D60" w:rsidRDefault="001E5497">
            <w:r>
              <w:t xml:space="preserve">Frau </w:t>
            </w:r>
            <w:proofErr w:type="spellStart"/>
            <w:r w:rsidR="000722DB">
              <w:t>xy</w:t>
            </w:r>
            <w:proofErr w:type="spellEnd"/>
            <w:r w:rsidR="000722DB">
              <w:t xml:space="preserve"> </w:t>
            </w:r>
            <w:r>
              <w:t xml:space="preserve"> agierte zum Teil zurückhaltend, so wurden Schwachstellen der Stunde nicht eindeutig benannt. </w:t>
            </w:r>
          </w:p>
          <w:p w:rsidR="001A5D60" w:rsidRDefault="001A5D60">
            <w:pPr>
              <w:rPr>
                <w:rFonts w:ascii="SenBJS" w:hAnsi="SenBJS"/>
              </w:rPr>
            </w:pPr>
          </w:p>
          <w:p w:rsidR="001A5D60" w:rsidRDefault="001A5D60">
            <w:pPr>
              <w:rPr>
                <w:rFonts w:ascii="SenBJS" w:hAnsi="SenBJS"/>
              </w:rPr>
            </w:pPr>
          </w:p>
          <w:p w:rsidR="001A5D60" w:rsidRDefault="001A5D60">
            <w:pPr>
              <w:rPr>
                <w:rFonts w:ascii="SenBJS" w:hAnsi="SenBJS"/>
              </w:rPr>
            </w:pPr>
          </w:p>
          <w:p w:rsidR="001A5D60" w:rsidRDefault="001A5D60">
            <w:pPr>
              <w:rPr>
                <w:rFonts w:ascii="SenBJS" w:hAnsi="SenBJS"/>
              </w:rPr>
            </w:pPr>
          </w:p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:rsidR="001A5D60" w:rsidRDefault="001A5D60">
            <w:pPr>
              <w:rPr>
                <w:rFonts w:ascii="SenBJS" w:hAnsi="SenBJS"/>
              </w:rPr>
            </w:pPr>
          </w:p>
        </w:tc>
      </w:tr>
      <w:tr w:rsidR="001A5D60">
        <w:tc>
          <w:tcPr>
            <w:tcW w:w="9212" w:type="dxa"/>
            <w:gridSpan w:val="6"/>
          </w:tcPr>
          <w:p w:rsidR="001A5D60" w:rsidRDefault="001A5D60">
            <w:pPr>
              <w:pStyle w:val="berschrift3"/>
              <w:rPr>
                <w:rFonts w:ascii="SenBJS" w:hAnsi="SenBJS"/>
              </w:rPr>
            </w:pPr>
          </w:p>
          <w:p w:rsidR="001A5D60" w:rsidRDefault="001E5497">
            <w:pPr>
              <w:pStyle w:val="berschrift3"/>
              <w:rPr>
                <w:rFonts w:ascii="SenBJS" w:hAnsi="SenBJS"/>
              </w:rPr>
            </w:pPr>
            <w:r>
              <w:rPr>
                <w:rFonts w:ascii="SenBJS" w:hAnsi="SenBJS"/>
              </w:rPr>
              <w:t>Ergebnis</w:t>
            </w:r>
            <w:r>
              <w:rPr>
                <w:rStyle w:val="Funotenzeichen"/>
                <w:rFonts w:ascii="SenBJS" w:hAnsi="SenBJS"/>
              </w:rPr>
              <w:footnoteReference w:id="2"/>
            </w:r>
            <w:r>
              <w:rPr>
                <w:rFonts w:ascii="SenBJS" w:hAnsi="SenBJS"/>
              </w:rPr>
              <w:t xml:space="preserve">                 - geeignet -</w:t>
            </w:r>
          </w:p>
          <w:p w:rsidR="001A5D60" w:rsidRDefault="001A5D60">
            <w:pPr>
              <w:rPr>
                <w:rFonts w:ascii="SenBJS" w:hAnsi="SenBJS"/>
                <w:b/>
                <w:sz w:val="22"/>
              </w:rPr>
            </w:pPr>
          </w:p>
        </w:tc>
      </w:tr>
    </w:tbl>
    <w:p w:rsidR="001A5D60" w:rsidRDefault="001A5D60">
      <w:pPr>
        <w:rPr>
          <w:rFonts w:ascii="SenBJS" w:hAnsi="SenBJS"/>
        </w:rPr>
      </w:pPr>
    </w:p>
    <w:sectPr w:rsidR="001A5D60">
      <w:footerReference w:type="default" r:id="rId6"/>
      <w:pgSz w:w="11906" w:h="16838"/>
      <w:pgMar w:top="851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F0" w:rsidRDefault="002C01F0">
      <w:r>
        <w:separator/>
      </w:r>
    </w:p>
  </w:endnote>
  <w:endnote w:type="continuationSeparator" w:id="0">
    <w:p w:rsidR="002C01F0" w:rsidRDefault="002C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60" w:rsidRDefault="001A5D60">
    <w:pPr>
      <w:pStyle w:val="Fuzeile"/>
      <w:rPr>
        <w:rFonts w:ascii="Arial" w:hAnsi="Arial"/>
      </w:rPr>
    </w:pPr>
  </w:p>
  <w:p w:rsidR="001A5D60" w:rsidRDefault="001E5497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__________________________________________________________________________________________</w:t>
    </w:r>
  </w:p>
  <w:p w:rsidR="001A5D60" w:rsidRDefault="001E5497">
    <w:pPr>
      <w:pStyle w:val="Fuzeile"/>
      <w:tabs>
        <w:tab w:val="clear" w:pos="9072"/>
        <w:tab w:val="right" w:pos="8931"/>
      </w:tabs>
      <w:rPr>
        <w:rFonts w:ascii="SenBJS" w:hAnsi="SenBJS"/>
        <w:sz w:val="18"/>
        <w:szCs w:val="18"/>
      </w:rPr>
    </w:pPr>
    <w:r>
      <w:rPr>
        <w:rFonts w:ascii="SenBJS" w:hAnsi="SenBJS"/>
        <w:sz w:val="18"/>
        <w:szCs w:val="18"/>
      </w:rPr>
      <w:t xml:space="preserve">6.2_A2 - </w:t>
    </w:r>
    <w:proofErr w:type="spellStart"/>
    <w:r>
      <w:rPr>
        <w:rFonts w:ascii="SenBJS" w:hAnsi="SenBJS"/>
        <w:sz w:val="18"/>
        <w:szCs w:val="18"/>
      </w:rPr>
      <w:t>Auswahlvermerk_Anlage</w:t>
    </w:r>
    <w:proofErr w:type="spellEnd"/>
    <w:r>
      <w:rPr>
        <w:rFonts w:ascii="SenBJS" w:hAnsi="SenBJS"/>
        <w:sz w:val="18"/>
        <w:szCs w:val="18"/>
      </w:rPr>
      <w:t xml:space="preserve"> 2 - Protokoll Personalgespräch - </w:t>
    </w:r>
    <w:proofErr w:type="spellStart"/>
    <w:r>
      <w:rPr>
        <w:rFonts w:ascii="SenBJS" w:hAnsi="SenBJS"/>
        <w:sz w:val="18"/>
        <w:szCs w:val="18"/>
      </w:rPr>
      <w:t>SenBJW</w:t>
    </w:r>
    <w:proofErr w:type="spellEnd"/>
    <w:r>
      <w:rPr>
        <w:rFonts w:ascii="SenBJS" w:hAnsi="SenBJS"/>
        <w:sz w:val="18"/>
        <w:szCs w:val="18"/>
      </w:rPr>
      <w:t xml:space="preserve"> I B - 03/2013</w:t>
    </w:r>
    <w:r>
      <w:rPr>
        <w:rFonts w:ascii="SenBJS" w:hAnsi="SenBJS"/>
        <w:sz w:val="18"/>
        <w:szCs w:val="18"/>
      </w:rPr>
      <w:tab/>
      <w:t xml:space="preserve">Seite </w:t>
    </w:r>
    <w:r>
      <w:rPr>
        <w:rStyle w:val="Seitenzahl"/>
        <w:rFonts w:ascii="SenBJS" w:hAnsi="SenBJS"/>
        <w:sz w:val="18"/>
        <w:szCs w:val="18"/>
      </w:rPr>
      <w:fldChar w:fldCharType="begin"/>
    </w:r>
    <w:r>
      <w:rPr>
        <w:rStyle w:val="Seitenzahl"/>
        <w:rFonts w:ascii="SenBJS" w:hAnsi="SenBJS"/>
        <w:sz w:val="18"/>
        <w:szCs w:val="18"/>
      </w:rPr>
      <w:instrText xml:space="preserve"> PAGE </w:instrText>
    </w:r>
    <w:r>
      <w:rPr>
        <w:rStyle w:val="Seitenzahl"/>
        <w:rFonts w:ascii="SenBJS" w:hAnsi="SenBJS"/>
        <w:sz w:val="18"/>
        <w:szCs w:val="18"/>
      </w:rPr>
      <w:fldChar w:fldCharType="separate"/>
    </w:r>
    <w:r w:rsidR="00E34F99">
      <w:rPr>
        <w:rStyle w:val="Seitenzahl"/>
        <w:rFonts w:ascii="SenBJS" w:hAnsi="SenBJS"/>
        <w:noProof/>
        <w:sz w:val="18"/>
        <w:szCs w:val="18"/>
      </w:rPr>
      <w:t>2</w:t>
    </w:r>
    <w:r>
      <w:rPr>
        <w:rStyle w:val="Seitenzahl"/>
        <w:rFonts w:ascii="SenBJS" w:hAnsi="SenBJS"/>
        <w:sz w:val="18"/>
        <w:szCs w:val="18"/>
      </w:rPr>
      <w:fldChar w:fldCharType="end"/>
    </w:r>
    <w:r>
      <w:rPr>
        <w:rStyle w:val="Seitenzahl"/>
        <w:rFonts w:ascii="SenBJS" w:hAnsi="SenBJS"/>
        <w:sz w:val="18"/>
        <w:szCs w:val="18"/>
      </w:rPr>
      <w:t xml:space="preserve"> von </w:t>
    </w:r>
    <w:r>
      <w:rPr>
        <w:rStyle w:val="Seitenzahl"/>
        <w:rFonts w:ascii="SenBJS" w:hAnsi="SenBJS"/>
        <w:sz w:val="18"/>
        <w:szCs w:val="18"/>
      </w:rPr>
      <w:fldChar w:fldCharType="begin"/>
    </w:r>
    <w:r>
      <w:rPr>
        <w:rStyle w:val="Seitenzahl"/>
        <w:rFonts w:ascii="SenBJS" w:hAnsi="SenBJS"/>
        <w:sz w:val="18"/>
        <w:szCs w:val="18"/>
      </w:rPr>
      <w:instrText xml:space="preserve"> NUMPAGES </w:instrText>
    </w:r>
    <w:r>
      <w:rPr>
        <w:rStyle w:val="Seitenzahl"/>
        <w:rFonts w:ascii="SenBJS" w:hAnsi="SenBJS"/>
        <w:sz w:val="18"/>
        <w:szCs w:val="18"/>
      </w:rPr>
      <w:fldChar w:fldCharType="separate"/>
    </w:r>
    <w:r w:rsidR="00E34F99">
      <w:rPr>
        <w:rStyle w:val="Seitenzahl"/>
        <w:rFonts w:ascii="SenBJS" w:hAnsi="SenBJS"/>
        <w:noProof/>
        <w:sz w:val="18"/>
        <w:szCs w:val="18"/>
      </w:rPr>
      <w:t>2</w:t>
    </w:r>
    <w:r>
      <w:rPr>
        <w:rStyle w:val="Seitenzahl"/>
        <w:rFonts w:ascii="SenBJS" w:hAnsi="SenBJ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F0" w:rsidRDefault="002C01F0">
      <w:r>
        <w:separator/>
      </w:r>
    </w:p>
  </w:footnote>
  <w:footnote w:type="continuationSeparator" w:id="0">
    <w:p w:rsidR="002C01F0" w:rsidRDefault="002C01F0">
      <w:r>
        <w:continuationSeparator/>
      </w:r>
    </w:p>
  </w:footnote>
  <w:footnote w:id="1">
    <w:p w:rsidR="001A5D60" w:rsidRDefault="001E5497">
      <w:pPr>
        <w:pStyle w:val="Funotentext"/>
        <w:ind w:left="426" w:hanging="426"/>
        <w:rPr>
          <w:rFonts w:ascii="SenBJS" w:hAnsi="SenBJS"/>
        </w:rPr>
      </w:pPr>
      <w:r>
        <w:rPr>
          <w:rStyle w:val="Funotenzeichen"/>
          <w:rFonts w:ascii="SenBJS" w:hAnsi="SenBJS"/>
        </w:rPr>
        <w:footnoteRef/>
      </w:r>
      <w:r>
        <w:rPr>
          <w:rFonts w:ascii="SenBJS" w:hAnsi="SenBJS"/>
        </w:rPr>
        <w:t xml:space="preserve"> </w:t>
      </w:r>
      <w:r>
        <w:rPr>
          <w:rFonts w:ascii="SenBJS" w:hAnsi="SenBJS"/>
        </w:rPr>
        <w:tab/>
        <w:t>Alternativ ist bei den Teilleistungen eine textliche Bewertung der Leistungen unter Verwendung der Begriffe „sehr gut geeignet“, „gut geeignet“, „geeignet“, „weniger geeignet“ bzw. „nicht geeignet“ möglich.</w:t>
      </w:r>
    </w:p>
  </w:footnote>
  <w:footnote w:id="2">
    <w:p w:rsidR="001A5D60" w:rsidRDefault="001E5497">
      <w:pPr>
        <w:pStyle w:val="Funotentext"/>
        <w:ind w:left="284" w:hanging="284"/>
      </w:pPr>
      <w:r>
        <w:rPr>
          <w:rStyle w:val="Funotenzeichen"/>
          <w:rFonts w:ascii="SenBJS" w:hAnsi="SenBJS"/>
        </w:rPr>
        <w:footnoteRef/>
      </w:r>
      <w:r>
        <w:rPr>
          <w:rFonts w:ascii="SenBJS" w:hAnsi="SenBJS"/>
        </w:rPr>
        <w:t xml:space="preserve">  </w:t>
      </w:r>
      <w:r>
        <w:rPr>
          <w:rFonts w:ascii="SenBJS" w:hAnsi="SenBJS"/>
        </w:rPr>
        <w:tab/>
        <w:t>Bei der Bewertung des Ergebnisses wird mit Blick auf das angestrebte Amt eine Einschätzung unter Verwendung der Begriffe „sehr gut geeignet“, „gut geeignet“, „geeignet“, „weniger geeignet“ bzw. „nicht geeignet“ erwartet.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60"/>
    <w:rsid w:val="000722DB"/>
    <w:rsid w:val="000D0AC4"/>
    <w:rsid w:val="001A5D60"/>
    <w:rsid w:val="001E5497"/>
    <w:rsid w:val="002C01F0"/>
    <w:rsid w:val="00853DB2"/>
    <w:rsid w:val="00E3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C4CC"/>
  <w15:chartTrackingRefBased/>
  <w15:docId w15:val="{59464A8A-4491-4C40-90A2-D615CB3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Senatsverwaltung für Bildung,                                                           Datum:</vt:lpstr>
    </vt:vector>
  </TitlesOfParts>
  <Company>Landesschulamt Berlin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Senatsverwaltung für Bildung,                                                           Datum:</dc:title>
  <dc:subject/>
  <dc:creator>FISCHERI</dc:creator>
  <cp:keywords/>
  <dc:description/>
  <cp:lastModifiedBy>Stang, Markus</cp:lastModifiedBy>
  <cp:revision>8</cp:revision>
  <cp:lastPrinted>2025-01-27T09:26:00Z</cp:lastPrinted>
  <dcterms:created xsi:type="dcterms:W3CDTF">2025-01-26T13:52:00Z</dcterms:created>
  <dcterms:modified xsi:type="dcterms:W3CDTF">2025-07-02T08:53:00Z</dcterms:modified>
</cp:coreProperties>
</file>